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ascii="宋体" w:hAnsi="宋体" w:eastAsia="宋体" w:cs="宋体"/>
          <w:bCs/>
          <w:color w:val="000000" w:themeColor="text1"/>
          <w:sz w:val="24"/>
          <w:szCs w:val="24"/>
          <w:highlight w:val="none"/>
          <w14:textFill>
            <w14:solidFill>
              <w14:schemeClr w14:val="tx1"/>
            </w14:solidFill>
          </w14:textFill>
        </w:rPr>
      </w:r>
      <w:r/>
    </w:p>
    <w:p>
      <w:pPr>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ascii="宋体" w:hAnsi="宋体" w:eastAsia="宋体" w:cs="宋体"/>
          <w:bCs/>
          <w:color w:val="000000" w:themeColor="text1"/>
          <w:sz w:val="24"/>
          <w:szCs w:val="24"/>
          <w:highlight w:val="none"/>
          <w14:textFill>
            <w14:solidFill>
              <w14:schemeClr w14:val="tx1"/>
            </w14:solidFill>
          </w14:textFill>
        </w:rPr>
      </w:r>
      <w:r/>
    </w:p>
    <w:p>
      <w:pPr>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ascii="宋体" w:hAnsi="宋体" w:eastAsia="宋体" w:cs="宋体"/>
          <w:bCs/>
          <w:color w:val="000000" w:themeColor="text1"/>
          <w:sz w:val="24"/>
          <w:szCs w:val="24"/>
          <w:highlight w:val="none"/>
          <w14:textFill>
            <w14:solidFill>
              <w14:schemeClr w14:val="tx1"/>
            </w14:solidFill>
          </w14:textFill>
        </w:rPr>
      </w:r>
      <w:r/>
    </w:p>
    <w:p>
      <w:pPr>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ascii="宋体" w:hAnsi="宋体" w:eastAsia="宋体" w:cs="宋体"/>
          <w:bCs/>
          <w:color w:val="000000" w:themeColor="text1"/>
          <w:sz w:val="24"/>
          <w:szCs w:val="24"/>
          <w:highlight w:val="none"/>
          <w14:textFill>
            <w14:solidFill>
              <w14:schemeClr w14:val="tx1"/>
            </w14:solidFill>
          </w14:textFill>
        </w:rPr>
      </w:r>
      <w:r/>
    </w:p>
    <w:p>
      <w:pPr>
        <w:spacing w:line="360" w:lineRule="auto"/>
        <w:rPr>
          <w:rFonts w:ascii="宋体" w:hAnsi="宋体" w:eastAsia="宋体" w:cs="宋体"/>
          <w:bCs/>
          <w:color w:val="000000" w:themeColor="text1"/>
          <w:sz w:val="24"/>
          <w:szCs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ascii="宋体" w:hAnsi="宋体" w:eastAsia="宋体" w:cs="宋体"/>
          <w:bCs/>
          <w:color w:val="000000" w:themeColor="text1"/>
          <w:sz w:val="24"/>
          <w:szCs w:val="24"/>
          <w:highlight w:val="none"/>
          <w14:textFill>
            <w14:solidFill>
              <w14:schemeClr w14:val="tx1"/>
            </w14:solidFill>
          </w14:textFill>
        </w:rPr>
      </w:r>
      <w:r/>
    </w:p>
    <w:p>
      <w:pPr>
        <w:jc w:val="center"/>
        <w:spacing w:line="360" w:lineRule="auto"/>
        <w:rPr>
          <w:rFonts w:ascii="宋体" w:hAnsi="宋体" w:eastAsia="宋体" w:cs="宋体"/>
          <w:bCs/>
          <w:color w:val="000000" w:themeColor="text1"/>
          <w:sz w:val="84"/>
          <w:szCs w:val="84"/>
          <w:highlight w:val="none"/>
          <w14:textFill>
            <w14:solidFill>
              <w14:schemeClr w14:val="tx1"/>
            </w14:solidFill>
          </w14:textFill>
        </w:rPr>
      </w:pPr>
      <w:r>
        <w:rPr>
          <w:rFonts w:hint="eastAsia" w:ascii="宋体" w:hAnsi="宋体" w:eastAsia="宋体" w:cs="宋体"/>
          <w:bCs/>
          <w:color w:val="000000" w:themeColor="text1"/>
          <w:sz w:val="84"/>
          <w:szCs w:val="84"/>
          <w:highlight w:val="none"/>
          <w14:textFill>
            <w14:solidFill>
              <w14:schemeClr w14:val="tx1"/>
            </w14:solidFill>
          </w14:textFill>
        </w:rPr>
        <w:t xml:space="preserve">苏州市政府采购</w:t>
      </w:r>
      <w:r/>
    </w:p>
    <w:p>
      <w:pPr>
        <w:jc w:val="center"/>
        <w:spacing w:line="360" w:lineRule="auto"/>
        <w:rPr>
          <w:rFonts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84"/>
          <w:szCs w:val="84"/>
          <w:highlight w:val="none"/>
          <w14:textFill>
            <w14:solidFill>
              <w14:schemeClr w14:val="tx1"/>
            </w14:solidFill>
          </w14:textFill>
        </w:rPr>
        <w:t xml:space="preserve">竞争性磋商文件</w:t>
      </w:r>
      <w:r/>
    </w:p>
    <w:p>
      <w:pPr>
        <w:jc w:val="center"/>
        <w:spacing w:line="360" w:lineRule="auto"/>
        <w:rPr>
          <w:rFonts w:ascii="宋体" w:hAnsi="宋体" w:eastAsia="宋体" w:cs="宋体"/>
          <w:bCs/>
          <w:color w:val="000000" w:themeColor="text1"/>
          <w:sz w:val="32"/>
          <w:szCs w:val="32"/>
          <w:highlight w:val="none"/>
          <w14:textFill>
            <w14:solidFill>
              <w14:schemeClr w14:val="tx1"/>
            </w14:solidFill>
          </w14:textFill>
        </w:rPr>
      </w:pPr>
      <w:r>
        <w:rPr>
          <w:rFonts w:ascii="宋体" w:hAnsi="宋体" w:eastAsia="宋体" w:cs="宋体"/>
          <w:bCs/>
          <w:color w:val="000000" w:themeColor="text1"/>
          <w:sz w:val="32"/>
          <w:szCs w:val="32"/>
          <w:highlight w:val="none"/>
          <w14:textFill>
            <w14:solidFill>
              <w14:schemeClr w14:val="tx1"/>
            </w14:solidFill>
          </w14:textFill>
        </w:rPr>
      </w:r>
      <w:r/>
    </w:p>
    <w:p>
      <w:pPr>
        <w:jc w:val="center"/>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1364615" cy="1370965"/>
                <wp:effectExtent l="0" t="0" r="6985" b="635"/>
                <wp:docPr id="4" name="图片 1" descr="苏州正杰招投标咨询服务有限公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苏州正杰招投标咨询服务有限公司"/>
                        <pic:cNvPicPr>
                          <a:picLocks noChangeAspect="1"/>
                        </pic:cNvPicPr>
                        <pic:nvPr/>
                      </pic:nvPicPr>
                      <pic:blipFill>
                        <a:blip r:embed="rId16"/>
                        <a:stretch/>
                      </pic:blipFill>
                      <pic:spPr bwMode="auto">
                        <a:xfrm>
                          <a:off x="0" y="0"/>
                          <a:ext cx="1364615" cy="1370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7.4pt;height:107.9pt;mso-wrap-distance-left:0.0pt;mso-wrap-distance-top:0.0pt;mso-wrap-distance-right:0.0pt;mso-wrap-distance-bottom:0.0pt;" stroked="f">
                <v:path textboxrect="0,0,0,0"/>
                <v:imagedata r:id="rId16" o:title=""/>
              </v:shape>
            </w:pict>
          </mc:Fallback>
        </mc:AlternateContent>
      </w:r>
      <w:r/>
    </w:p>
    <w:p>
      <w:pPr>
        <w:jc w:val="center"/>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ascii="宋体" w:hAnsi="宋体" w:eastAsia="宋体" w:cs="宋体"/>
          <w:bCs/>
          <w:color w:val="000000" w:themeColor="text1"/>
          <w:sz w:val="21"/>
          <w:szCs w:val="21"/>
          <w:highlight w:val="none"/>
          <w14:textFill>
            <w14:solidFill>
              <w14:schemeClr w14:val="tx1"/>
            </w14:solidFill>
          </w14:textFill>
        </w:rPr>
      </w:r>
      <w:r/>
    </w:p>
    <w:p>
      <w:pPr>
        <w:spacing w:line="360" w:lineRule="auto"/>
        <w:rPr>
          <w:rFonts w:ascii="宋体" w:hAnsi="宋体" w:eastAsia="宋体" w:cs="宋体"/>
          <w:bCs/>
          <w:color w:val="000000" w:themeColor="text1"/>
          <w:sz w:val="32"/>
          <w:szCs w:val="32"/>
          <w:highlight w:val="none"/>
          <w14:textFill>
            <w14:solidFill>
              <w14:schemeClr w14:val="tx1"/>
            </w14:solidFill>
          </w14:textFill>
        </w:rPr>
      </w:pPr>
      <w:r>
        <w:rPr>
          <w:rFonts w:ascii="宋体" w:hAnsi="宋体" w:eastAsia="宋体" w:cs="宋体"/>
          <w:bCs/>
          <w:color w:val="000000" w:themeColor="text1"/>
          <w:sz w:val="32"/>
          <w:szCs w:val="32"/>
          <w:highlight w:val="none"/>
          <w14:textFill>
            <w14:solidFill>
              <w14:schemeClr w14:val="tx1"/>
            </w14:solidFill>
          </w14:textFill>
        </w:rPr>
      </w:r>
      <w:r/>
    </w:p>
    <w:p>
      <w:pPr>
        <w:ind w:firstLine="1200"/>
        <w:jc w:val="left"/>
        <w:spacing w:line="360" w:lineRule="auto"/>
        <w:rPr>
          <w:rFonts w:hint="eastAsia" w:ascii="宋体" w:hAnsi="宋体" w:eastAsia="宋体" w:cs="宋体"/>
          <w:bCs/>
          <w:color w:val="000000" w:themeColor="text1"/>
          <w:sz w:val="30"/>
          <w:szCs w:val="30"/>
          <w:highlight w:val="none"/>
          <w:lang w:eastAsia="zh-CN"/>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t xml:space="preserve">采 购 人：</w:t>
      </w:r>
      <w:r>
        <w:rPr>
          <w:rFonts w:hint="eastAsia" w:ascii="宋体" w:hAnsi="宋体" w:eastAsia="宋体" w:cs="宋体"/>
          <w:bCs/>
          <w:color w:val="000000" w:themeColor="text1"/>
          <w:sz w:val="30"/>
          <w:szCs w:val="30"/>
          <w:highlight w:val="none"/>
          <w:lang w:eastAsia="zh-CN"/>
          <w14:textFill>
            <w14:solidFill>
              <w14:schemeClr w14:val="tx1"/>
            </w14:solidFill>
          </w14:textFill>
        </w:rPr>
        <w:t xml:space="preserve">苏州市吴江区儿童医院</w:t>
      </w:r>
      <w:r/>
    </w:p>
    <w:p>
      <w:pPr>
        <w:ind w:firstLine="1200"/>
        <w:jc w:val="left"/>
        <w:spacing w:line="360" w:lineRule="auto"/>
        <w:rPr>
          <w:rFonts w:hint="eastAsia" w:ascii="宋体" w:hAnsi="宋体" w:eastAsia="宋体" w:cs="宋体"/>
          <w:bCs/>
          <w:color w:val="000000" w:themeColor="text1"/>
          <w:sz w:val="30"/>
          <w:szCs w:val="30"/>
          <w:highlight w:val="none"/>
          <w:lang w:eastAsia="zh-CN"/>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t xml:space="preserve">项目编号：</w:t>
      </w:r>
      <w:r>
        <w:rPr>
          <w:rFonts w:hint="eastAsia" w:ascii="宋体" w:hAnsi="宋体" w:eastAsia="宋体" w:cs="宋体"/>
          <w:bCs/>
          <w:color w:val="000000" w:themeColor="text1"/>
          <w:sz w:val="30"/>
          <w:szCs w:val="30"/>
          <w:highlight w:val="none"/>
          <w:lang w:eastAsia="zh-CN"/>
          <w14:textFill>
            <w14:solidFill>
              <w14:schemeClr w14:val="tx1"/>
            </w14:solidFill>
          </w14:textFill>
        </w:rPr>
        <w:t xml:space="preserve">JSZC-320509-SZZJ-C2025-0059</w:t>
      </w:r>
      <w:r/>
    </w:p>
    <w:p>
      <w:pPr>
        <w:ind w:firstLine="1200"/>
        <w:spacing w:line="360" w:lineRule="auto"/>
        <w:rPr>
          <w:rFonts w:hint="eastAsia" w:ascii="宋体" w:hAnsi="宋体" w:eastAsia="宋体" w:cs="宋体"/>
          <w:bCs/>
          <w:color w:val="000000" w:themeColor="text1"/>
          <w:sz w:val="30"/>
          <w:szCs w:val="30"/>
          <w:highlight w:val="none"/>
          <w:lang w:eastAsia="zh-CN"/>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t xml:space="preserve">项目名称：</w:t>
      </w:r>
      <w:r>
        <w:rPr>
          <w:rFonts w:hint="eastAsia" w:ascii="宋体" w:hAnsi="宋体" w:eastAsia="宋体" w:cs="宋体"/>
          <w:bCs/>
          <w:color w:val="000000" w:themeColor="text1"/>
          <w:sz w:val="30"/>
          <w:szCs w:val="30"/>
          <w:highlight w:val="none"/>
          <w:lang w:eastAsia="zh-CN"/>
          <w14:textFill>
            <w14:solidFill>
              <w14:schemeClr w14:val="tx1"/>
            </w14:solidFill>
          </w14:textFill>
        </w:rPr>
        <w:t xml:space="preserve">检验检测外送服务</w:t>
      </w:r>
      <w:bookmarkStart w:id="15" w:name="_GoBack"/>
      <w:r/>
      <w:bookmarkEnd w:id="15"/>
      <w:r/>
      <w:r/>
    </w:p>
    <w:p>
      <w:pPr>
        <w:ind w:firstLine="1200"/>
        <w:jc w:val="left"/>
        <w:spacing w:line="360" w:lineRule="auto"/>
        <w:rPr>
          <w:rFonts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t xml:space="preserve">采购类别：服务类</w:t>
      </w:r>
      <w:r/>
    </w:p>
    <w:p>
      <w:pPr>
        <w:jc w:val="center"/>
        <w:spacing w:line="360" w:lineRule="auto"/>
        <w:rPr>
          <w:rFonts w:ascii="宋体" w:hAnsi="宋体" w:eastAsia="宋体" w:cs="宋体"/>
          <w:bCs/>
          <w:color w:val="000000" w:themeColor="text1"/>
          <w:sz w:val="30"/>
          <w:szCs w:val="30"/>
          <w:highlight w:val="none"/>
          <w14:textFill>
            <w14:solidFill>
              <w14:schemeClr w14:val="tx1"/>
            </w14:solidFill>
          </w14:textFill>
        </w:rPr>
      </w:pPr>
      <w:r>
        <w:rPr>
          <w:rFonts w:ascii="宋体" w:hAnsi="宋体" w:eastAsia="宋体" w:cs="宋体"/>
          <w:bCs/>
          <w:color w:val="000000" w:themeColor="text1"/>
          <w:sz w:val="30"/>
          <w:szCs w:val="30"/>
          <w:highlight w:val="none"/>
          <w14:textFill>
            <w14:solidFill>
              <w14:schemeClr w14:val="tx1"/>
            </w14:solidFill>
          </w14:textFill>
        </w:rPr>
      </w:r>
      <w:r/>
    </w:p>
    <w:p>
      <w:pPr>
        <w:jc w:val="both"/>
        <w:spacing w:line="360" w:lineRule="auto"/>
        <w:rPr>
          <w:rFonts w:ascii="宋体" w:hAnsi="宋体" w:eastAsia="宋体" w:cs="宋体"/>
          <w:bCs/>
          <w:color w:val="000000" w:themeColor="text1"/>
          <w:sz w:val="30"/>
          <w:szCs w:val="30"/>
          <w:highlight w:val="none"/>
          <w14:textFill>
            <w14:solidFill>
              <w14:schemeClr w14:val="tx1"/>
            </w14:solidFill>
          </w14:textFill>
        </w:rPr>
      </w:pPr>
      <w:r>
        <w:rPr>
          <w:rFonts w:ascii="宋体" w:hAnsi="宋体" w:eastAsia="宋体" w:cs="宋体"/>
          <w:bCs/>
          <w:color w:val="000000" w:themeColor="text1"/>
          <w:sz w:val="30"/>
          <w:szCs w:val="30"/>
          <w:highlight w:val="none"/>
          <w14:textFill>
            <w14:solidFill>
              <w14:schemeClr w14:val="tx1"/>
            </w14:solidFill>
          </w14:textFill>
        </w:rPr>
      </w:r>
      <w:r/>
    </w:p>
    <w:p>
      <w:pPr>
        <w:jc w:val="center"/>
        <w:spacing w:line="360" w:lineRule="auto"/>
        <w:rPr>
          <w:rFonts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t xml:space="preserve">苏州正杰招投标咨询服务有限公司</w:t>
      </w:r>
      <w:r/>
    </w:p>
    <w:p>
      <w:pPr>
        <w:pStyle w:val="952"/>
        <w:ind w:firstLine="0"/>
        <w:jc w:val="center"/>
        <w:spacing w:line="360" w:lineRule="auto"/>
        <w:rPr>
          <w:rFonts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t xml:space="preserve">2025年</w:t>
      </w:r>
      <w:r>
        <w:rPr>
          <w:rFonts w:hint="eastAsia" w:ascii="宋体" w:hAnsi="宋体" w:eastAsia="宋体" w:cs="宋体"/>
          <w:bCs/>
          <w:color w:val="000000" w:themeColor="text1"/>
          <w:sz w:val="30"/>
          <w:szCs w:val="30"/>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30"/>
          <w:szCs w:val="30"/>
          <w:highlight w:val="none"/>
          <w14:textFill>
            <w14:solidFill>
              <w14:schemeClr w14:val="tx1"/>
            </w14:solidFill>
          </w14:textFill>
        </w:rPr>
        <w:t xml:space="preserve">月</w:t>
      </w:r>
      <w:r/>
    </w:p>
    <w:p>
      <w:pPr>
        <w:pStyle w:val="952"/>
        <w:ind w:firstLine="0"/>
        <w:jc w:val="center"/>
        <w:spacing w:line="360" w:lineRule="auto"/>
        <w:rPr>
          <w:rFonts w:ascii="宋体" w:hAnsi="宋体" w:eastAsia="宋体" w:cs="宋体"/>
          <w:b/>
          <w:color w:val="000000" w:themeColor="text1"/>
          <w:sz w:val="32"/>
          <w:szCs w:val="32"/>
          <w:highlight w:val="none"/>
          <w14:textFill>
            <w14:solidFill>
              <w14:schemeClr w14:val="tx1"/>
            </w14:solidFill>
          </w14:textFill>
        </w:rPr>
        <w:sectPr>
          <w:headerReference w:type="default" r:id="rId9"/>
          <w:footerReference w:type="default" r:id="rId10"/>
          <w:footnotePr/>
          <w:endnotePr/>
          <w:type w:val="nextPage"/>
          <w:pgSz w:w="11906" w:h="16838" w:orient="portrait"/>
          <w:pgMar w:top="1134" w:right="1134" w:bottom="1134" w:left="1134" w:header="851" w:footer="567" w:gutter="0"/>
          <w:pgNumType w:start="0"/>
          <w:cols w:num="1" w:sep="0" w:space="720" w:equalWidth="1"/>
          <w:docGrid w:linePitch="360"/>
          <w:titlePg/>
        </w:sectPr>
      </w:pPr>
      <w:r>
        <w:rPr>
          <w:rFonts w:ascii="宋体" w:hAnsi="宋体" w:eastAsia="宋体" w:cs="宋体"/>
          <w:b/>
          <w:color w:val="000000" w:themeColor="text1"/>
          <w:sz w:val="32"/>
          <w:szCs w:val="32"/>
          <w:highlight w:val="none"/>
          <w14:textFill>
            <w14:solidFill>
              <w14:schemeClr w14:val="tx1"/>
            </w14:solidFill>
          </w14:textFill>
        </w:rPr>
      </w:r>
      <w:r/>
    </w:p>
    <w:p>
      <w:pPr>
        <w:pStyle w:val="952"/>
        <w:ind w:firstLine="0"/>
        <w:jc w:val="center"/>
        <w:spacing w:line="360" w:lineRule="auto"/>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目  录</w:t>
      </w:r>
      <w:r/>
    </w:p>
    <w:p>
      <w:pPr>
        <w:pStyle w:val="952"/>
        <w:ind w:firstLine="0"/>
        <w:jc w:val="center"/>
        <w:spacing w:line="360" w:lineRule="auto"/>
        <w:rPr>
          <w:rFonts w:ascii="宋体" w:hAnsi="宋体" w:eastAsia="宋体" w:cs="宋体"/>
          <w:bCs/>
          <w:color w:val="000000" w:themeColor="text1"/>
          <w:sz w:val="32"/>
          <w:szCs w:val="32"/>
          <w:highlight w:val="none"/>
          <w14:textFill>
            <w14:solidFill>
              <w14:schemeClr w14:val="tx1"/>
            </w14:solidFill>
          </w14:textFill>
        </w:rPr>
      </w:pPr>
      <w:r>
        <w:rPr>
          <w:rFonts w:ascii="宋体" w:hAnsi="宋体" w:eastAsia="宋体" w:cs="宋体"/>
          <w:bCs/>
          <w:color w:val="000000" w:themeColor="text1"/>
          <w:sz w:val="32"/>
          <w:szCs w:val="32"/>
          <w:highlight w:val="none"/>
          <w14:textFill>
            <w14:solidFill>
              <w14:schemeClr w14:val="tx1"/>
            </w14:solidFill>
          </w14:textFill>
        </w:rPr>
      </w:r>
      <w:r/>
    </w:p>
    <w:p>
      <w:pPr>
        <w:pStyle w:val="959"/>
        <w:ind w:firstLine="0"/>
        <w:jc w:val="center"/>
        <w:rPr>
          <w:rFonts w:hint="eastAsia" w:ascii="宋体" w:hAnsi="宋体" w:eastAsia="宋体" w:cs="宋体"/>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fldChar w:fldCharType="begin"/>
      </w:r>
      <w:r>
        <w:rPr>
          <w:rFonts w:hint="eastAsia" w:ascii="宋体" w:hAnsi="宋体" w:eastAsia="宋体" w:cs="宋体"/>
          <w:bCs/>
          <w:color w:val="000000" w:themeColor="text1"/>
          <w:sz w:val="32"/>
          <w:szCs w:val="32"/>
          <w:highlight w:val="none"/>
          <w14:textFill>
            <w14:solidFill>
              <w14:schemeClr w14:val="tx1"/>
            </w14:solidFill>
          </w14:textFill>
        </w:rPr>
        <w:instrText xml:space="preserve"> TOC \o "1-1" </w:instrText>
      </w:r>
      <w:r>
        <w:rPr>
          <w:rFonts w:hint="eastAsia" w:ascii="宋体" w:hAnsi="宋体" w:eastAsia="宋体" w:cs="宋体"/>
          <w:bCs/>
          <w:color w:val="000000" w:themeColor="text1"/>
          <w:sz w:val="32"/>
          <w:szCs w:val="32"/>
          <w:highlight w:val="none"/>
          <w14:textFill>
            <w14:solidFill>
              <w14:schemeClr w14:val="tx1"/>
            </w14:solidFill>
          </w14:textFill>
        </w:rPr>
        <w:fldChar w:fldCharType="separate"/>
      </w:r>
      <w:r>
        <w:rPr>
          <w:rFonts w:hint="eastAsia" w:ascii="宋体" w:hAnsi="宋体" w:eastAsia="宋体" w:cs="宋体"/>
          <w:bCs/>
          <w:color w:val="000000" w:themeColor="text1"/>
          <w:sz w:val="32"/>
          <w:szCs w:val="32"/>
          <w:highlight w:val="none"/>
          <w14:textFill>
            <w14:solidFill>
              <w14:schemeClr w14:val="tx1"/>
            </w14:solidFill>
          </w14:textFill>
        </w:rPr>
        <w:t xml:space="preserve">第一章 竞争性磋商邀请函</w:t>
      </w:r>
      <w:r>
        <w:rPr>
          <w:rFonts w:hint="eastAsia" w:ascii="宋体" w:hAnsi="宋体" w:eastAsia="宋体" w:cs="宋体"/>
          <w:bCs/>
          <w:color w:val="000000" w:themeColor="text1"/>
          <w:sz w:val="32"/>
          <w:szCs w:val="32"/>
          <w:highlight w:val="none"/>
          <w14:textFill>
            <w14:solidFill>
              <w14:schemeClr w14:val="tx1"/>
            </w14:solidFill>
          </w14:textFill>
        </w:rPr>
        <w:tab/>
      </w:r>
      <w:r>
        <w:rPr>
          <w:rFonts w:hint="eastAsia" w:ascii="宋体" w:hAnsi="宋体" w:eastAsia="宋体" w:cs="宋体"/>
          <w:bCs/>
          <w:color w:val="000000" w:themeColor="text1"/>
          <w:sz w:val="32"/>
          <w:szCs w:val="32"/>
          <w:highlight w:val="none"/>
          <w:lang w:val="en-US" w:eastAsia="zh-CN"/>
          <w14:textFill>
            <w14:solidFill>
              <w14:schemeClr w14:val="tx1"/>
            </w14:solidFill>
          </w14:textFill>
        </w:rPr>
        <w:t xml:space="preserve">1</w:t>
      </w:r>
      <w:r/>
    </w:p>
    <w:p>
      <w:pPr>
        <w:pStyle w:val="959"/>
        <w:ind w:firstLine="0"/>
        <w:jc w:val="center"/>
        <w:rPr>
          <w:rFonts w:hint="eastAsia" w:ascii="宋体" w:hAnsi="宋体" w:eastAsia="宋体" w:cs="宋体"/>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t xml:space="preserve">第二章 响应须知</w:t>
      </w:r>
      <w:r>
        <w:rPr>
          <w:rFonts w:hint="eastAsia" w:ascii="宋体" w:hAnsi="宋体" w:eastAsia="宋体" w:cs="宋体"/>
          <w:bCs/>
          <w:color w:val="000000" w:themeColor="text1"/>
          <w:sz w:val="32"/>
          <w:szCs w:val="32"/>
          <w:highlight w:val="none"/>
          <w14:textFill>
            <w14:solidFill>
              <w14:schemeClr w14:val="tx1"/>
            </w14:solidFill>
          </w14:textFill>
        </w:rPr>
        <w:tab/>
      </w:r>
      <w:r>
        <w:rPr>
          <w:rFonts w:hint="eastAsia" w:ascii="宋体" w:hAnsi="宋体" w:eastAsia="宋体" w:cs="宋体"/>
          <w:bCs/>
          <w:color w:val="000000" w:themeColor="text1"/>
          <w:sz w:val="32"/>
          <w:szCs w:val="32"/>
          <w:highlight w:val="none"/>
          <w:lang w:val="en-US" w:eastAsia="zh-CN"/>
          <w14:textFill>
            <w14:solidFill>
              <w14:schemeClr w14:val="tx1"/>
            </w14:solidFill>
          </w14:textFill>
        </w:rPr>
        <w:t xml:space="preserve">5</w:t>
      </w:r>
      <w:r/>
    </w:p>
    <w:p>
      <w:pPr>
        <w:pStyle w:val="959"/>
        <w:ind w:firstLine="0"/>
        <w:jc w:val="center"/>
        <w:rPr>
          <w:rFonts w:hint="default" w:ascii="宋体" w:hAnsi="宋体" w:eastAsia="宋体" w:cs="宋体"/>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t xml:space="preserve">第三章 响应文件格式</w:t>
      </w:r>
      <w:r>
        <w:rPr>
          <w:rFonts w:hint="eastAsia" w:ascii="宋体" w:hAnsi="宋体" w:eastAsia="宋体" w:cs="宋体"/>
          <w:bCs/>
          <w:color w:val="000000" w:themeColor="text1"/>
          <w:sz w:val="32"/>
          <w:szCs w:val="32"/>
          <w:highlight w:val="none"/>
          <w14:textFill>
            <w14:solidFill>
              <w14:schemeClr w14:val="tx1"/>
            </w14:solidFill>
          </w14:textFill>
        </w:rPr>
        <w:tab/>
      </w:r>
      <w:r>
        <w:rPr>
          <w:rFonts w:hint="eastAsia" w:ascii="宋体" w:hAnsi="宋体" w:eastAsia="宋体" w:cs="宋体"/>
          <w:bCs/>
          <w:color w:val="000000" w:themeColor="text1"/>
          <w:sz w:val="32"/>
          <w:szCs w:val="32"/>
          <w:highlight w:val="none"/>
          <w:lang w:val="en-US" w:eastAsia="zh-CN"/>
          <w14:textFill>
            <w14:solidFill>
              <w14:schemeClr w14:val="tx1"/>
            </w14:solidFill>
          </w14:textFill>
        </w:rPr>
        <w:t xml:space="preserve">16</w:t>
      </w:r>
      <w:r/>
    </w:p>
    <w:p>
      <w:pPr>
        <w:pStyle w:val="959"/>
        <w:ind w:firstLine="0"/>
        <w:jc w:val="center"/>
        <w:rPr>
          <w:rFonts w:hint="default" w:ascii="宋体" w:hAnsi="宋体" w:eastAsia="宋体" w:cs="宋体"/>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t xml:space="preserve">第四章 采购需求</w:t>
      </w:r>
      <w:r>
        <w:rPr>
          <w:rFonts w:hint="eastAsia" w:ascii="宋体" w:hAnsi="宋体" w:eastAsia="宋体" w:cs="宋体"/>
          <w:bCs/>
          <w:color w:val="000000" w:themeColor="text1"/>
          <w:sz w:val="32"/>
          <w:szCs w:val="32"/>
          <w:highlight w:val="none"/>
          <w14:textFill>
            <w14:solidFill>
              <w14:schemeClr w14:val="tx1"/>
            </w14:solidFill>
          </w14:textFill>
        </w:rPr>
        <w:tab/>
      </w:r>
      <w:r>
        <w:rPr>
          <w:rFonts w:hint="eastAsia" w:ascii="宋体" w:hAnsi="宋体" w:eastAsia="宋体" w:cs="宋体"/>
          <w:bCs/>
          <w:color w:val="000000" w:themeColor="text1"/>
          <w:sz w:val="32"/>
          <w:szCs w:val="32"/>
          <w:highlight w:val="none"/>
          <w:lang w:val="en-US" w:eastAsia="zh-CN"/>
          <w14:textFill>
            <w14:solidFill>
              <w14:schemeClr w14:val="tx1"/>
            </w14:solidFill>
          </w14:textFill>
        </w:rPr>
        <w:t xml:space="preserve">26</w:t>
      </w:r>
      <w:r/>
    </w:p>
    <w:p>
      <w:pPr>
        <w:pStyle w:val="959"/>
        <w:ind w:firstLine="0"/>
        <w:jc w:val="center"/>
        <w:rPr>
          <w:rFonts w:hint="default" w:ascii="宋体" w:hAnsi="宋体" w:eastAsia="宋体" w:cs="宋体"/>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t xml:space="preserve">第五章 合同文本</w:t>
      </w:r>
      <w:r>
        <w:rPr>
          <w:rFonts w:hint="eastAsia" w:ascii="宋体" w:hAnsi="宋体" w:eastAsia="宋体" w:cs="宋体"/>
          <w:bCs/>
          <w:color w:val="000000" w:themeColor="text1"/>
          <w:sz w:val="32"/>
          <w:szCs w:val="32"/>
          <w:highlight w:val="none"/>
          <w14:textFill>
            <w14:solidFill>
              <w14:schemeClr w14:val="tx1"/>
            </w14:solidFill>
          </w14:textFill>
        </w:rPr>
        <w:tab/>
      </w:r>
      <w:r>
        <w:rPr>
          <w:rFonts w:hint="eastAsia" w:ascii="宋体" w:hAnsi="宋体" w:eastAsia="宋体" w:cs="宋体"/>
          <w:bCs/>
          <w:color w:val="000000" w:themeColor="text1"/>
          <w:sz w:val="32"/>
          <w:szCs w:val="32"/>
          <w:highlight w:val="none"/>
          <w:lang w:val="en-US" w:eastAsia="zh-CN"/>
          <w14:textFill>
            <w14:solidFill>
              <w14:schemeClr w14:val="tx1"/>
            </w14:solidFill>
          </w14:textFill>
        </w:rPr>
        <w:t xml:space="preserve">30</w:t>
      </w:r>
      <w:r/>
    </w:p>
    <w:p>
      <w:pPr>
        <w:pStyle w:val="959"/>
        <w:ind w:firstLine="0"/>
        <w:jc w:val="center"/>
        <w:rPr>
          <w:rFonts w:hint="default" w:ascii="宋体" w:hAnsi="宋体" w:eastAsia="宋体" w:cs="宋体"/>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t xml:space="preserve">第六章 评审方法及评审标准</w:t>
      </w:r>
      <w:r>
        <w:rPr>
          <w:rFonts w:hint="eastAsia" w:ascii="宋体" w:hAnsi="宋体" w:eastAsia="宋体" w:cs="宋体"/>
          <w:bCs/>
          <w:color w:val="000000" w:themeColor="text1"/>
          <w:sz w:val="32"/>
          <w:szCs w:val="32"/>
          <w:highlight w:val="none"/>
          <w14:textFill>
            <w14:solidFill>
              <w14:schemeClr w14:val="tx1"/>
            </w14:solidFill>
          </w14:textFill>
        </w:rPr>
        <w:tab/>
      </w:r>
      <w:r>
        <w:rPr>
          <w:rFonts w:hint="eastAsia" w:ascii="宋体" w:hAnsi="宋体" w:eastAsia="宋体" w:cs="宋体"/>
          <w:bCs/>
          <w:color w:val="000000" w:themeColor="text1"/>
          <w:sz w:val="32"/>
          <w:szCs w:val="32"/>
          <w:highlight w:val="none"/>
          <w:lang w:val="en-US" w:eastAsia="zh-CN"/>
          <w14:textFill>
            <w14:solidFill>
              <w14:schemeClr w14:val="tx1"/>
            </w14:solidFill>
          </w14:textFill>
        </w:rPr>
        <w:t xml:space="preserve">36</w:t>
      </w:r>
      <w:r/>
    </w:p>
    <w:p>
      <w:pPr>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fldChar w:fldCharType="end"/>
      </w:r>
      <w:r/>
    </w:p>
    <w:p>
      <w:pPr>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ascii="宋体" w:hAnsi="宋体" w:eastAsia="宋体" w:cs="宋体"/>
          <w:bCs/>
          <w:color w:val="000000" w:themeColor="text1"/>
          <w:sz w:val="21"/>
          <w:szCs w:val="21"/>
          <w:highlight w:val="none"/>
          <w14:textFill>
            <w14:solidFill>
              <w14:schemeClr w14:val="tx1"/>
            </w14:solidFill>
          </w14:textFill>
        </w:rPr>
      </w:r>
      <w:r/>
    </w:p>
    <w:p>
      <w:pPr>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ascii="宋体" w:hAnsi="宋体" w:eastAsia="宋体" w:cs="宋体"/>
          <w:bCs/>
          <w:color w:val="000000" w:themeColor="text1"/>
          <w:sz w:val="21"/>
          <w:szCs w:val="21"/>
          <w:highlight w:val="none"/>
          <w14:textFill>
            <w14:solidFill>
              <w14:schemeClr w14:val="tx1"/>
            </w14:solidFill>
          </w14:textFill>
        </w:rPr>
      </w:r>
      <w:r/>
    </w:p>
    <w:p>
      <w:pPr>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ascii="宋体" w:hAnsi="宋体" w:eastAsia="宋体" w:cs="宋体"/>
          <w:bCs/>
          <w:color w:val="000000" w:themeColor="text1"/>
          <w:sz w:val="21"/>
          <w:szCs w:val="21"/>
          <w:highlight w:val="none"/>
          <w14:textFill>
            <w14:solidFill>
              <w14:schemeClr w14:val="tx1"/>
            </w14:solidFill>
          </w14:textFill>
        </w:rPr>
      </w:r>
      <w:r/>
    </w:p>
    <w:p>
      <w:pPr>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ascii="宋体" w:hAnsi="宋体" w:eastAsia="宋体" w:cs="宋体"/>
          <w:bCs/>
          <w:color w:val="000000" w:themeColor="text1"/>
          <w:sz w:val="21"/>
          <w:szCs w:val="21"/>
          <w:highlight w:val="none"/>
          <w14:textFill>
            <w14:solidFill>
              <w14:schemeClr w14:val="tx1"/>
            </w14:solidFill>
          </w14:textFill>
        </w:rPr>
      </w:r>
      <w:r/>
    </w:p>
    <w:p>
      <w:pPr>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ascii="宋体" w:hAnsi="宋体" w:eastAsia="宋体" w:cs="宋体"/>
          <w:bCs/>
          <w:color w:val="000000" w:themeColor="text1"/>
          <w:sz w:val="21"/>
          <w:szCs w:val="21"/>
          <w:highlight w:val="none"/>
          <w14:textFill>
            <w14:solidFill>
              <w14:schemeClr w14:val="tx1"/>
            </w14:solidFill>
          </w14:textFill>
        </w:rPr>
      </w:r>
      <w:r/>
    </w:p>
    <w:p>
      <w:pPr>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ascii="宋体" w:hAnsi="宋体" w:eastAsia="宋体" w:cs="宋体"/>
          <w:bCs/>
          <w:color w:val="000000" w:themeColor="text1"/>
          <w:sz w:val="21"/>
          <w:szCs w:val="21"/>
          <w:highlight w:val="none"/>
          <w14:textFill>
            <w14:solidFill>
              <w14:schemeClr w14:val="tx1"/>
            </w14:solidFill>
          </w14:textFill>
        </w:rPr>
      </w:r>
      <w:r/>
    </w:p>
    <w:p>
      <w:pPr>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ascii="宋体" w:hAnsi="宋体" w:eastAsia="宋体" w:cs="宋体"/>
          <w:bCs/>
          <w:color w:val="000000" w:themeColor="text1"/>
          <w:sz w:val="21"/>
          <w:szCs w:val="21"/>
          <w:highlight w:val="none"/>
          <w14:textFill>
            <w14:solidFill>
              <w14:schemeClr w14:val="tx1"/>
            </w14:solidFill>
          </w14:textFill>
        </w:rPr>
      </w:r>
      <w:r/>
    </w:p>
    <w:p>
      <w:pPr>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ascii="宋体" w:hAnsi="宋体" w:eastAsia="宋体" w:cs="宋体"/>
          <w:bCs/>
          <w:color w:val="000000" w:themeColor="text1"/>
          <w:sz w:val="21"/>
          <w:szCs w:val="21"/>
          <w:highlight w:val="none"/>
          <w14:textFill>
            <w14:solidFill>
              <w14:schemeClr w14:val="tx1"/>
            </w14:solidFill>
          </w14:textFill>
        </w:rPr>
      </w:r>
      <w:r/>
    </w:p>
    <w:p>
      <w:pPr>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ascii="宋体" w:hAnsi="宋体" w:eastAsia="宋体" w:cs="宋体"/>
          <w:bCs/>
          <w:color w:val="000000" w:themeColor="text1"/>
          <w:sz w:val="21"/>
          <w:szCs w:val="21"/>
          <w:highlight w:val="none"/>
          <w14:textFill>
            <w14:solidFill>
              <w14:schemeClr w14:val="tx1"/>
            </w14:solidFill>
          </w14:textFill>
        </w:rPr>
      </w:r>
      <w:r/>
    </w:p>
    <w:p>
      <w:pPr>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ascii="宋体" w:hAnsi="宋体" w:eastAsia="宋体" w:cs="宋体"/>
          <w:bCs/>
          <w:color w:val="000000" w:themeColor="text1"/>
          <w:sz w:val="21"/>
          <w:szCs w:val="21"/>
          <w:highlight w:val="none"/>
          <w14:textFill>
            <w14:solidFill>
              <w14:schemeClr w14:val="tx1"/>
            </w14:solidFill>
          </w14:textFill>
        </w:rPr>
      </w:r>
      <w:r/>
    </w:p>
    <w:p>
      <w:pPr>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ascii="宋体" w:hAnsi="宋体" w:eastAsia="宋体" w:cs="宋体"/>
          <w:bCs/>
          <w:color w:val="000000" w:themeColor="text1"/>
          <w:sz w:val="21"/>
          <w:szCs w:val="21"/>
          <w:highlight w:val="none"/>
          <w14:textFill>
            <w14:solidFill>
              <w14:schemeClr w14:val="tx1"/>
            </w14:solidFill>
          </w14:textFill>
        </w:rPr>
      </w:r>
      <w:r/>
    </w:p>
    <w:p>
      <w:pPr>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ascii="宋体" w:hAnsi="宋体" w:eastAsia="宋体" w:cs="宋体"/>
          <w:bCs/>
          <w:color w:val="000000" w:themeColor="text1"/>
          <w:sz w:val="21"/>
          <w:szCs w:val="21"/>
          <w:highlight w:val="none"/>
          <w14:textFill>
            <w14:solidFill>
              <w14:schemeClr w14:val="tx1"/>
            </w14:solidFill>
          </w14:textFill>
        </w:rPr>
      </w:r>
      <w:r/>
    </w:p>
    <w:p>
      <w:pPr>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ascii="宋体" w:hAnsi="宋体" w:eastAsia="宋体" w:cs="宋体"/>
          <w:bCs/>
          <w:color w:val="000000" w:themeColor="text1"/>
          <w:sz w:val="21"/>
          <w:szCs w:val="21"/>
          <w:highlight w:val="none"/>
          <w14:textFill>
            <w14:solidFill>
              <w14:schemeClr w14:val="tx1"/>
            </w14:solidFill>
          </w14:textFill>
        </w:rPr>
      </w:r>
      <w:r/>
    </w:p>
    <w:p>
      <w:pPr>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ascii="宋体" w:hAnsi="宋体" w:eastAsia="宋体" w:cs="宋体"/>
          <w:bCs/>
          <w:color w:val="000000" w:themeColor="text1"/>
          <w:sz w:val="21"/>
          <w:szCs w:val="21"/>
          <w:highlight w:val="none"/>
          <w14:textFill>
            <w14:solidFill>
              <w14:schemeClr w14:val="tx1"/>
            </w14:solidFill>
          </w14:textFill>
        </w:rPr>
      </w:r>
      <w:r/>
    </w:p>
    <w:p>
      <w:pPr>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ascii="宋体" w:hAnsi="宋体" w:eastAsia="宋体" w:cs="宋体"/>
          <w:bCs/>
          <w:color w:val="000000" w:themeColor="text1"/>
          <w:sz w:val="21"/>
          <w:szCs w:val="21"/>
          <w:highlight w:val="none"/>
          <w14:textFill>
            <w14:solidFill>
              <w14:schemeClr w14:val="tx1"/>
            </w14:solidFill>
          </w14:textFill>
        </w:rPr>
      </w:r>
      <w:r/>
    </w:p>
    <w:p>
      <w:pPr>
        <w:pStyle w:val="947"/>
        <w:ind w:firstLine="1040"/>
        <w:jc w:val="center"/>
        <w:spacing w:line="360" w:lineRule="auto"/>
        <w:rPr>
          <w:rFonts w:ascii="宋体" w:hAnsi="宋体" w:eastAsia="宋体" w:cs="宋体"/>
          <w:b w:val="0"/>
          <w:bCs/>
          <w:color w:val="000000" w:themeColor="text1"/>
          <w:sz w:val="52"/>
          <w:szCs w:val="52"/>
          <w:highlight w:val="none"/>
          <w14:textFill>
            <w14:solidFill>
              <w14:schemeClr w14:val="tx1"/>
            </w14:solidFill>
          </w14:textFill>
        </w:rPr>
        <w:sectPr>
          <w:footerReference w:type="default" r:id="rId11"/>
          <w:footerReference w:type="first" r:id="rId12"/>
          <w:footnotePr/>
          <w:endnotePr/>
          <w:type w:val="nextPage"/>
          <w:pgSz w:w="11906" w:h="16838" w:orient="portrait"/>
          <w:pgMar w:top="1134" w:right="1134" w:bottom="1134" w:left="1134" w:header="851" w:footer="567" w:gutter="0"/>
          <w:pgNumType w:start="1"/>
          <w:cols w:num="1" w:sep="0" w:space="720" w:equalWidth="1"/>
          <w:docGrid w:linePitch="360"/>
        </w:sectPr>
      </w:pPr>
      <w:r/>
      <w:bookmarkStart w:id="0" w:name="_第一章_谈判邀请函"/>
      <w:r/>
      <w:bookmarkEnd w:id="0"/>
      <w:r/>
      <w:bookmarkStart w:id="1" w:name="_Toc301856546"/>
      <w:r/>
      <w:bookmarkEnd w:id="1"/>
      <w:r/>
      <w:r/>
    </w:p>
    <w:p>
      <w:pPr>
        <w:ind w:firstLine="482"/>
        <w:jc w:val="center"/>
        <w:spacing w:line="360" w:lineRule="auto"/>
        <w:rPr>
          <w:rFonts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第一章 竞争性磋商邀请函</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苏州正杰招投标咨询服务有限公司受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苏州市吴江区儿童医院</w:t>
      </w:r>
      <w:r>
        <w:rPr>
          <w:rFonts w:hint="eastAsia" w:ascii="宋体" w:hAnsi="宋体" w:eastAsia="宋体" w:cs="宋体"/>
          <w:color w:val="000000" w:themeColor="text1"/>
          <w:sz w:val="24"/>
          <w:szCs w:val="24"/>
          <w:highlight w:val="none"/>
          <w14:textFill>
            <w14:solidFill>
              <w14:schemeClr w14:val="tx1"/>
            </w14:solidFill>
          </w14:textFill>
        </w:rPr>
        <w:t xml:space="preserve">的委托，就其所需的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检验检测外送服务</w:t>
      </w:r>
      <w:r>
        <w:rPr>
          <w:rFonts w:hint="eastAsia" w:ascii="宋体" w:hAnsi="宋体" w:eastAsia="宋体" w:cs="宋体"/>
          <w:color w:val="000000" w:themeColor="text1"/>
          <w:sz w:val="24"/>
          <w:szCs w:val="24"/>
          <w:highlight w:val="none"/>
          <w14:textFill>
            <w14:solidFill>
              <w14:schemeClr w14:val="tx1"/>
            </w14:solidFill>
          </w14:textFill>
        </w:rPr>
        <w:t xml:space="preserve">项目以竞争性磋商方式组织政府采购，欢迎符合条件的供应商参加。</w:t>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一、项目基本情况</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JSZC-320509-SZZJ-C2025-0059</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检验检测外送服务</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采购方式：竞争性磋商。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预算金额：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人民币198</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其中第一标段检验项目外送服务预算：人民币150万元；第二标段人类遗传病基因检测项目预算：人民币48万元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最高限价：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人民币174</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其中第一标段检验项目外送服务最高限价：人民币150万元；第二标段人类遗传病基因检测项目最高限价：人民币24万元，且不能超清单内单项最高限价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采购需求：</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1、标的的名称：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检验检测外送服务</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2、标段：</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个</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3、服务要求：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第一标段检验项目外送服务；第二标段人类遗传病基因检测。</w:t>
      </w:r>
      <w:r>
        <w:rPr>
          <w:rFonts w:hint="eastAsia" w:ascii="宋体" w:hAnsi="宋体" w:eastAsia="宋体" w:cs="宋体"/>
          <w:bCs/>
          <w:color w:val="000000" w:themeColor="text1"/>
          <w:sz w:val="24"/>
          <w:szCs w:val="24"/>
          <w:highlight w:val="none"/>
          <w14:textFill>
            <w14:solidFill>
              <w14:schemeClr w14:val="tx1"/>
            </w14:solidFill>
          </w14:textFill>
        </w:rPr>
        <w:t xml:space="preserve">具体详见</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w:t>
      </w:r>
      <w:r>
        <w:rPr>
          <w:rFonts w:hint="eastAsia" w:ascii="宋体" w:hAnsi="宋体" w:eastAsia="宋体" w:cs="宋体"/>
          <w:bCs/>
          <w:color w:val="000000" w:themeColor="text1"/>
          <w:sz w:val="24"/>
          <w:szCs w:val="24"/>
          <w:highlight w:val="none"/>
          <w14:textFill>
            <w14:solidFill>
              <w14:schemeClr w14:val="tx1"/>
            </w14:solidFill>
          </w14:textFill>
        </w:rPr>
        <w:t xml:space="preserve">购文件</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14:textFill>
            <w14:solidFill>
              <w14:schemeClr w14:val="tx1"/>
            </w14:solidFill>
          </w14:textFill>
        </w:rPr>
        <w:t xml:space="preserve">采购需求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rPr>
          <w:rFonts w:ascii="SimSun" w:hAnsi="SimSun" w:eastAsia="SimSun" w:cs="SimSun"/>
          <w:color w:val="000000"/>
          <w:sz w:val="24"/>
        </w:rPr>
        <w:t xml:space="preserve">本项目分二个标段采购，允许响应单位报名一个或二个标段，并可同时成为一、二标段成交单位。进入每个标段评审的实质性响应供应商不少于三家，如不足三家，认定该标段采购失败。本项目的标段开标顺序为标段一、标段二（依次进行）</w:t>
      </w:r>
      <w:r>
        <w:rPr>
          <w:rFonts w:hint="eastAsia" w:ascii="宋体" w:hAnsi="宋体" w:eastAsia="宋体" w:cs="宋体"/>
          <w:color w:val="000000" w:themeColor="text1"/>
          <w:sz w:val="24"/>
          <w:szCs w:val="24"/>
          <w:highlight w:val="none"/>
          <w14:textFill>
            <w14:solidFill>
              <w14:schemeClr w14:val="tx1"/>
            </w14:solidFill>
          </w14:textFill>
        </w:rPr>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合同履行期限：</w:t>
      </w:r>
      <w:r>
        <w:rPr>
          <w:rFonts w:hint="eastAsia" w:ascii="宋体" w:hAnsi="宋体" w:eastAsia="宋体" w:cs="宋体"/>
          <w:color w:val="000000" w:themeColor="text1"/>
          <w:sz w:val="24"/>
          <w:highlight w:val="none"/>
          <w:lang w:eastAsia="zh-CN"/>
          <w14:textFill>
            <w14:solidFill>
              <w14:schemeClr w14:val="tx1"/>
            </w14:solidFill>
          </w14:textFill>
        </w:rPr>
        <w:t xml:space="preserve">自合同签订之日起二年（具体日期以采购人要求为准）；或实际结算合同金额达到预算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或最高限价</w:t>
      </w:r>
      <w:r>
        <w:rPr>
          <w:rFonts w:hint="eastAsia" w:ascii="宋体" w:hAnsi="宋体" w:eastAsia="宋体" w:cs="宋体"/>
          <w:color w:val="000000" w:themeColor="text1"/>
          <w:sz w:val="24"/>
          <w:highlight w:val="none"/>
          <w:lang w:eastAsia="zh-CN"/>
          <w14:textFill>
            <w14:solidFill>
              <w14:schemeClr w14:val="tx1"/>
            </w14:solidFill>
          </w14:textFill>
        </w:rPr>
        <w:t xml:space="preserve">总金额（二者中以先到者为准）。具体根据实际工作量进行结算。</w:t>
      </w:r>
      <w:r/>
    </w:p>
    <w:p>
      <w:pPr>
        <w:pStyle w:val="954"/>
        <w:ind w:left="5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4、本项目不接受联合体。</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二、申请人的资格要求：</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（1）具有独立承担民事责任的能力；</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（2）具有良好的商业信誉和健全的财务会计制度；</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（3）具有履行合同所必需的设备和专业技术能力；</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（4）有依法缴纳税收和社会保障资金的良好记录；</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（5）参加政府采购活动前三年内，在经营活动中没有重大违法记录；</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（6）法律、行政法规规定的其他条件。</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2、落实政府采购政策需满足的资格要求：</w:t>
      </w:r>
      <w:r>
        <w:rPr>
          <w:rFonts w:hint="eastAsia" w:ascii="宋体" w:hAnsi="宋体" w:eastAsia="宋体" w:cs="宋体"/>
          <w:b/>
          <w:bCs/>
          <w:color w:val="000000" w:themeColor="text1"/>
          <w:sz w:val="24"/>
          <w:szCs w:val="24"/>
          <w:highlight w:val="none"/>
          <w14:textFill>
            <w14:solidFill>
              <w14:schemeClr w14:val="tx1"/>
            </w14:solidFill>
          </w14:textFill>
        </w:rPr>
        <w:t xml:space="preserve">根据《政府采购促进中小企业发展管理办法》的相关规定，本项目专门面向中小企业，所属行业为</w:t>
      </w: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其他未列明行业</w:t>
      </w:r>
      <w:r>
        <w:rPr>
          <w:rFonts w:hint="eastAsia" w:ascii="宋体" w:hAnsi="宋体" w:eastAsia="宋体" w:cs="宋体"/>
          <w:b/>
          <w:bCs/>
          <w:color w:val="000000" w:themeColor="text1"/>
          <w:sz w:val="24"/>
          <w:szCs w:val="24"/>
          <w:highlight w:val="none"/>
          <w14:textFill>
            <w14:solidFill>
              <w14:schemeClr w14:val="tx1"/>
            </w14:solidFill>
          </w14:textFill>
        </w:rPr>
        <w:t xml:space="preserve">，供应商应为中小微企业、监狱企业、残疾人福利性单位。</w:t>
      </w:r>
      <w:r/>
    </w:p>
    <w:p>
      <w:pPr>
        <w:ind w:firstLine="480"/>
        <w:spacing w:line="360" w:lineRule="auto"/>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3、本项目的特定资格要求：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第一标段：</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具备有效的医疗机构执业许可证。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第二标段：具备有效的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医疗机构执业许可证，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二级及以上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生物安全实验室备案证书，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临床基因扩增检验实验室技术验收合格证书。</w:t>
      </w:r>
      <w:r/>
    </w:p>
    <w:p>
      <w:pPr>
        <w:ind w:firstLine="482"/>
        <w:spacing w:line="360" w:lineRule="auto"/>
        <w:rPr>
          <w:rFonts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 xml:space="preserve">三、获取采购文件</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时间：自磋商文件公告发布之日起5个工作日。</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地点：“苏采云”系统自行下载采购文件。</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方式（网上报名）：</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（1）CA办理：</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供应商通过“苏采云”政府采购交易系统（以下简称苏采云系统，网址：h</w:t>
      </w:r>
      <w:r>
        <w:rPr>
          <w:rFonts w:hint="eastAsia" w:ascii="宋体" w:hAnsi="宋体" w:eastAsia="宋体" w:cs="宋体"/>
          <w:color w:val="000000" w:themeColor="text1"/>
          <w:sz w:val="24"/>
          <w:szCs w:val="24"/>
          <w:highlight w:val="none"/>
          <w14:textFill>
            <w14:solidFill>
              <w14:schemeClr w14:val="tx1"/>
            </w14:solidFill>
          </w14:textFill>
        </w:rPr>
        <w:t xml:space="preserve">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（2）依法获取采购文件：</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插入CA证书登录“苏采云”系统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考虑到熟悉“苏采云”系统、办理CA证书都需要一定的时间，请提早准备以免耽误招标采购活动。</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未依照采购公告要求获取采购文件的供应商，视为未参加该项政府采购活动，不具备对该政府采购项目提出质疑的法定权利。</w:t>
      </w:r>
      <w:r/>
    </w:p>
    <w:p>
      <w:pPr>
        <w:ind w:firstLine="480"/>
        <w:spacing w:line="360" w:lineRule="auto"/>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（3）技术咨询服务电话：</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CA技术咨询服务电话：400-608-6099；</w:t>
      </w:r>
      <w:r/>
    </w:p>
    <w:p>
      <w:pPr>
        <w:ind w:left="5" w:firstLine="518"/>
        <w:spacing w:line="360" w:lineRule="auto"/>
        <w:tabs>
          <w:tab w:val="left" w:pos="851"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电子签章技术咨询服务电话：025-83633811、025-83633812、15380932027、15371015030；</w:t>
      </w:r>
      <w:r/>
    </w:p>
    <w:p>
      <w:pPr>
        <w:ind w:left="5" w:firstLine="518"/>
        <w:spacing w:line="360" w:lineRule="auto"/>
        <w:tabs>
          <w:tab w:val="left" w:pos="851"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苏州市及区县“苏采云”系统使用指导与咨询：联系电话：0512-69820854、18261002950；QQ：3048755361、1315179389、895706745；智能客服：登录苏采云系统后，联系系统右下方智能客服图标进行咨询。 </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售价：本项目免费下载电子采购文件。</w:t>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四、响应文件提交</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1、截止时间：</w:t>
      </w:r>
      <w:r>
        <w:rPr>
          <w:rFonts w:hint="eastAsia" w:ascii="宋体" w:hAnsi="宋体" w:eastAsia="宋体" w:cs="宋体"/>
          <w:b/>
          <w:bCs/>
          <w:color w:val="000000" w:themeColor="text1"/>
          <w:sz w:val="24"/>
          <w:szCs w:val="24"/>
          <w:highlight w:val="none"/>
          <w14:textFill>
            <w14:solidFill>
              <w14:schemeClr w14:val="tx1"/>
            </w14:solidFill>
          </w14:textFill>
        </w:rPr>
        <w:t xml:space="preserve">2025年</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12</w:t>
      </w:r>
      <w:r>
        <w:rPr>
          <w:rFonts w:hint="eastAsia" w:ascii="宋体" w:hAnsi="宋体" w:eastAsia="宋体" w:cs="宋体"/>
          <w:b/>
          <w:bCs/>
          <w:color w:val="000000" w:themeColor="text1"/>
          <w:sz w:val="24"/>
          <w:szCs w:val="24"/>
          <w:highlight w:val="none"/>
          <w14:textFill>
            <w14:solidFill>
              <w14:schemeClr w14:val="tx1"/>
            </w14:solidFill>
          </w14:textFill>
        </w:rPr>
        <w:t xml:space="preserve">月</w:t>
      </w:r>
      <w:r>
        <w:rPr>
          <w:rFonts w:hint="eastAsia" w:ascii="宋体" w:hAnsi="宋体" w:eastAsia="宋体" w:cs="宋体"/>
          <w:b/>
          <w:bCs/>
          <w:color w:val="000000" w:themeColor="text1"/>
          <w:sz w:val="24"/>
          <w:szCs w:val="24"/>
          <w:highlight w:val="none"/>
          <w14:textFill>
            <w14:solidFill>
              <w14:schemeClr w14:val="tx1"/>
            </w14:solidFill>
          </w14:textFill>
        </w:rPr>
        <w:t xml:space="preserve">10日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
          <w:bCs/>
          <w:color w:val="000000" w:themeColor="text1"/>
          <w:sz w:val="24"/>
          <w:szCs w:val="24"/>
          <w:highlight w:val="none"/>
          <w14:textFill>
            <w14:solidFill>
              <w14:schemeClr w14:val="tx1"/>
            </w14:solidFill>
          </w14:textFill>
        </w:rPr>
        <w:t xml:space="preserve">点30分</w:t>
      </w:r>
      <w:r>
        <w:rPr>
          <w:rFonts w:hint="eastAsia" w:ascii="宋体" w:hAnsi="宋体" w:eastAsia="宋体" w:cs="宋体"/>
          <w:b/>
          <w:color w:val="000000" w:themeColor="text1"/>
          <w:sz w:val="24"/>
          <w:szCs w:val="24"/>
          <w:highlight w:val="none"/>
          <w14:textFill>
            <w14:solidFill>
              <w14:schemeClr w14:val="tx1"/>
            </w14:solidFill>
          </w14:textFill>
        </w:rPr>
        <w:t xml:space="preserve">（北京时间）。</w:t>
      </w:r>
      <w:r/>
    </w:p>
    <w:p>
      <w:pPr>
        <w:pStyle w:val="952"/>
        <w:ind w:firstLine="480"/>
        <w:spacing w:line="360" w:lineRule="auto"/>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2、地点：“苏采云”系统（网址：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"http://jszfcg.jsczt.cn/）“开标大厅”。"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4"/>
          <w:highlight w:val="none"/>
          <w14:textFill>
            <w14:solidFill>
              <w14:schemeClr w14:val="tx1"/>
            </w14:solidFill>
          </w14:textFill>
        </w:rPr>
        <w:t xml:space="preserve">http://jszfcg.jsczt.cn/）。</w:t>
      </w:r>
      <w:r>
        <w:rPr>
          <w:rFonts w:hint="eastAsia" w:ascii="宋体" w:hAnsi="宋体" w:eastAsia="宋体" w:cs="宋体"/>
          <w:color w:val="000000" w:themeColor="text1"/>
          <w:szCs w:val="24"/>
          <w:highlight w:val="none"/>
          <w14:textFill>
            <w14:solidFill>
              <w14:schemeClr w14:val="tx1"/>
            </w14:solidFill>
          </w14:textFill>
        </w:rPr>
        <w:fldChar w:fldCharType="end"/>
      </w:r>
      <w:r/>
    </w:p>
    <w:p>
      <w:pPr>
        <w:pStyle w:val="952"/>
        <w:ind w:firstLine="480"/>
        <w:spacing w:line="360" w:lineRule="auto"/>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t xml:space="preserve">3</w:t>
      </w:r>
      <w:r>
        <w:rPr>
          <w:rFonts w:hint="eastAsia" w:ascii="宋体" w:hAnsi="宋体" w:eastAsia="宋体" w:cs="宋体"/>
          <w:color w:val="000000" w:themeColor="text1"/>
          <w:szCs w:val="24"/>
          <w:highlight w:val="none"/>
          <w14:textFill>
            <w14:solidFill>
              <w14:schemeClr w14:val="tx1"/>
            </w14:solidFill>
          </w14:textFill>
        </w:rPr>
        <w:t xml:space="preserve">、方式：响应文件网上递交，不需要现场参加采购活动。</w:t>
      </w:r>
      <w:r/>
    </w:p>
    <w:p>
      <w:pPr>
        <w:pStyle w:val="952"/>
        <w:ind w:firstLine="482"/>
        <w:spacing w:line="360" w:lineRule="auto"/>
        <w:rPr>
          <w:rFonts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t xml:space="preserve">五、开启</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1、时间：</w:t>
      </w:r>
      <w:r>
        <w:rPr>
          <w:rFonts w:hint="eastAsia" w:ascii="宋体" w:hAnsi="宋体" w:eastAsia="宋体" w:cs="宋体"/>
          <w:b/>
          <w:bCs/>
          <w:color w:val="000000" w:themeColor="text1"/>
          <w:sz w:val="24"/>
          <w:szCs w:val="24"/>
          <w:highlight w:val="none"/>
          <w14:textFill>
            <w14:solidFill>
              <w14:schemeClr w14:val="tx1"/>
            </w14:solidFill>
          </w14:textFill>
        </w:rPr>
        <w:t xml:space="preserve">2025年</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12</w:t>
      </w:r>
      <w:r>
        <w:rPr>
          <w:rFonts w:hint="eastAsia" w:ascii="宋体" w:hAnsi="宋体" w:eastAsia="宋体" w:cs="宋体"/>
          <w:b/>
          <w:bCs/>
          <w:color w:val="000000" w:themeColor="text1"/>
          <w:sz w:val="24"/>
          <w:szCs w:val="24"/>
          <w:highlight w:val="none"/>
          <w14:textFill>
            <w14:solidFill>
              <w14:schemeClr w14:val="tx1"/>
            </w14:solidFill>
          </w14:textFill>
        </w:rPr>
        <w:t xml:space="preserve">月10</w:t>
      </w:r>
      <w:r>
        <w:rPr>
          <w:rFonts w:hint="eastAsia" w:ascii="宋体" w:hAnsi="宋体" w:eastAsia="宋体" w:cs="宋体"/>
          <w:b/>
          <w:bCs/>
          <w:color w:val="000000" w:themeColor="text1"/>
          <w:sz w:val="24"/>
          <w:szCs w:val="24"/>
          <w:highlight w:val="none"/>
          <w14:textFill>
            <w14:solidFill>
              <w14:schemeClr w14:val="tx1"/>
            </w14:solidFill>
          </w14:textFill>
        </w:rPr>
        <w:t xml:space="preserve">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
          <w:bCs/>
          <w:color w:val="000000" w:themeColor="text1"/>
          <w:sz w:val="24"/>
          <w:szCs w:val="24"/>
          <w:highlight w:val="none"/>
          <w14:textFill>
            <w14:solidFill>
              <w14:schemeClr w14:val="tx1"/>
            </w14:solidFill>
          </w14:textFill>
        </w:rPr>
        <w:t xml:space="preserve">点30分</w:t>
      </w:r>
      <w:r>
        <w:rPr>
          <w:rFonts w:hint="eastAsia" w:ascii="宋体" w:hAnsi="宋体" w:eastAsia="宋体" w:cs="宋体"/>
          <w:b/>
          <w:color w:val="000000" w:themeColor="text1"/>
          <w:sz w:val="24"/>
          <w:szCs w:val="24"/>
          <w:highlight w:val="none"/>
          <w14:textFill>
            <w14:solidFill>
              <w14:schemeClr w14:val="tx1"/>
            </w14:solidFill>
          </w14:textFill>
        </w:rPr>
        <w:t xml:space="preserve">（北京时间）。</w:t>
      </w:r>
      <w:r/>
    </w:p>
    <w:p>
      <w:pPr>
        <w:pStyle w:val="952"/>
        <w:ind w:firstLine="480"/>
        <w:spacing w:line="360" w:lineRule="auto"/>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2、地点：“苏采云”系统（网址：http://jszfcg.jsczt.cn/）。</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3、线上参加开标（开启）会方式：供应商登录</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苏采云</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系统，点击</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开标大厅</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，选择对应项目，点击进入不见面开标系统。</w:t>
      </w:r>
      <w:r>
        <w:rPr>
          <w:rFonts w:ascii="宋体" w:hAnsi="宋体" w:eastAsia="宋体" w:cs="宋体"/>
          <w:color w:val="000000" w:themeColor="text1"/>
          <w:sz w:val="24"/>
          <w:szCs w:val="24"/>
          <w:highlight w:val="none"/>
          <w14:textFill>
            <w14:solidFill>
              <w14:schemeClr w14:val="tx1"/>
            </w14:solidFill>
          </w14:textFill>
        </w:rPr>
        <w:t xml:space="preserve"> </w:t>
      </w:r>
      <w:r/>
    </w:p>
    <w:p>
      <w:pPr>
        <w:ind w:firstLine="480"/>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本项目为不见面开标（开启）项目，</w:t>
      </w:r>
      <w:r>
        <w:rPr>
          <w:rFonts w:hint="eastAsia" w:ascii="宋体" w:hAnsi="宋体" w:eastAsia="宋体" w:cs="宋体"/>
          <w:b/>
          <w:bCs/>
          <w:color w:val="000000" w:themeColor="text1"/>
          <w:sz w:val="24"/>
          <w:szCs w:val="24"/>
          <w:highlight w:val="none"/>
          <w14:textFill>
            <w14:solidFill>
              <w14:schemeClr w14:val="tx1"/>
            </w14:solidFill>
          </w14:textFill>
        </w:rPr>
        <w:t xml:space="preserve">开启阶段供应商在【解密环节】必须使用</w:t>
      </w:r>
      <w:r>
        <w:rPr>
          <w:rFonts w:ascii="宋体" w:hAnsi="宋体" w:eastAsia="宋体" w:cs="宋体"/>
          <w:b/>
          <w:bCs/>
          <w:color w:val="000000" w:themeColor="text1"/>
          <w:sz w:val="24"/>
          <w:szCs w:val="24"/>
          <w:highlight w:val="none"/>
          <w14:textFill>
            <w14:solidFill>
              <w14:schemeClr w14:val="tx1"/>
            </w14:solidFill>
          </w14:textFill>
        </w:rPr>
        <w:t xml:space="preserve"> CA</w:t>
      </w:r>
      <w:r>
        <w:rPr>
          <w:rFonts w:hint="eastAsia" w:ascii="宋体" w:hAnsi="宋体" w:eastAsia="宋体" w:cs="宋体"/>
          <w:b/>
          <w:bCs/>
          <w:color w:val="000000" w:themeColor="text1"/>
          <w:sz w:val="24"/>
          <w:szCs w:val="24"/>
          <w:highlight w:val="none"/>
          <w14:textFill>
            <w14:solidFill>
              <w14:schemeClr w14:val="tx1"/>
            </w14:solidFill>
          </w14:textFill>
        </w:rPr>
        <w:t xml:space="preserve">证书解密电子投标（响应）文件，如在</w:t>
      </w:r>
      <w:r>
        <w:rPr>
          <w:rFonts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苏采云</w:t>
      </w:r>
      <w:r>
        <w:rPr>
          <w:rFonts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系统规定的时间内未能成功解密的视为放弃参与本项目，投标无效。</w:t>
      </w:r>
      <w:r>
        <w:rPr>
          <w:rFonts w:ascii="宋体" w:hAnsi="宋体" w:eastAsia="宋体" w:cs="宋体"/>
          <w:b/>
          <w:bCs/>
          <w:color w:val="000000" w:themeColor="text1"/>
          <w:sz w:val="24"/>
          <w:szCs w:val="24"/>
          <w:highlight w:val="none"/>
          <w14:textFill>
            <w14:solidFill>
              <w14:schemeClr w14:val="tx1"/>
            </w14:solidFill>
          </w14:textFill>
        </w:rPr>
        <w:t xml:space="preserve"> </w:t>
      </w:r>
      <w:r/>
    </w:p>
    <w:p>
      <w:pPr>
        <w:pStyle w:val="952"/>
        <w:ind w:firstLine="480"/>
        <w:spacing w:line="360" w:lineRule="auto"/>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请供应商确保电脑、系统及其他设备（视频输入输出设备等）无误，且开启直至项目结束始终保持系统在线状态。</w:t>
      </w:r>
      <w:r/>
    </w:p>
    <w:p>
      <w:pPr>
        <w:ind w:firstLine="482"/>
        <w:spacing w:line="360" w:lineRule="auto"/>
        <w:rPr>
          <w:rFonts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 xml:space="preserve">六、公告期限</w:t>
      </w:r>
      <w:r/>
    </w:p>
    <w:p>
      <w:pPr>
        <w:ind w:firstLine="480"/>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自本公告发布之日起3个工作日。</w:t>
      </w:r>
      <w:r/>
    </w:p>
    <w:p>
      <w:pPr>
        <w:ind w:firstLine="482"/>
        <w:spacing w:line="360" w:lineRule="auto"/>
        <w:rPr>
          <w:rFonts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 xml:space="preserve">七、其他补充事宜</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1、采购项目需要落实的政府采购政策：</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政府采购促进中小企业发展管理办法》（财库〔2020〕46号）、《关于做好政府采购支持企业发展有关事项的通知》（苏财购〔2020〕52号）及《关于印发&lt;苏州市政府采购促进中小企业发展实施意见&gt;的通知》（苏财购〔2022〕16号）的规定。</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《关于政府采购支持监狱企业发展有关问题的通知》（财库〔2014〕68号）。</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《关于促进残疾人就业政府采购政策的通知》（财库〔2017〕141号）。</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开评标过程中如有问题采购代理机构工作人员会及时通过报名时在投标确认函模块留存的手机号与供应商联系。此号码在开标截止之前可修改，以响应文件中投标函保存的最新号码为准，请供应商确保该手机号开评标当日通讯畅通，否则导致的对供应商不利的后果由供应商自行承担。</w:t>
      </w:r>
      <w:r/>
    </w:p>
    <w:p>
      <w:pPr>
        <w:ind w:firstLine="480"/>
        <w:spacing w:line="360" w:lineRule="auto"/>
        <w:rPr>
          <w:rFonts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3、如不同供应商使用同一台电脑制作的电子响应文件的，双方“文件制作机器码”一致的，则其响应文件将被认定为无效响应。</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4、本项目获取采购文件截止日期之后仍可以下载采购文件，但截止日期之后下载的采购文件，视为非有效方式且不作为供应商权益受到损害的证明材料和依据。</w:t>
      </w:r>
      <w:r/>
    </w:p>
    <w:p>
      <w:pPr>
        <w:ind w:firstLine="482"/>
        <w:spacing w:line="360" w:lineRule="auto"/>
        <w:rPr>
          <w:rFonts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 xml:space="preserve">八、凡对本次采购提出询问，请按以下方式联系。</w:t>
      </w:r>
      <w:r/>
    </w:p>
    <w:p>
      <w:pPr>
        <w:ind w:firstLine="480"/>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outlineLvl w:val="2"/>
      </w:pPr>
      <w:r>
        <w:rPr>
          <w:rFonts w:hint="eastAsia" w:ascii="宋体" w:hAnsi="宋体" w:eastAsia="宋体"/>
          <w:color w:val="000000" w:themeColor="text1"/>
          <w:sz w:val="24"/>
          <w:szCs w:val="24"/>
          <w:highlight w:val="none"/>
          <w14:textFill>
            <w14:solidFill>
              <w14:schemeClr w14:val="tx1"/>
            </w14:solidFill>
          </w14:textFill>
        </w:rPr>
        <w:t xml:space="preserve">1、采购人信息</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名称</w:t>
      </w:r>
      <w:r>
        <w:rPr>
          <w:rFonts w:hint="eastAsia" w:ascii="宋体" w:hAnsi="宋体" w:eastAsia="宋体"/>
          <w:color w:val="000000" w:themeColor="text1"/>
          <w:sz w:val="24"/>
          <w:szCs w:val="24"/>
          <w:highlight w:val="none"/>
          <w:lang w:eastAsia="zh-CN"/>
          <w14:textFill>
            <w14:solidFill>
              <w14:schemeClr w14:val="tx1"/>
            </w14:solidFill>
          </w14:textFill>
        </w:rPr>
        <w:t xml:space="preserve">：苏州市吴江区儿童医院</w:t>
      </w:r>
      <w:r>
        <w:rPr>
          <w:rFonts w:hint="eastAsia" w:ascii="宋体" w:hAnsi="宋体" w:eastAsia="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地址</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苏州市吴江区公园路176号。</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联系方式</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电</w:t>
      </w:r>
      <w:r>
        <w:rPr>
          <w:rFonts w:hint="eastAsia" w:ascii="宋体" w:hAnsi="宋体" w:eastAsia="宋体"/>
          <w:color w:val="000000" w:themeColor="text1"/>
          <w:sz w:val="24"/>
          <w:szCs w:val="24"/>
          <w:highlight w:val="none"/>
          <w:u w:val="none"/>
          <w14:textFill>
            <w14:solidFill>
              <w14:schemeClr w14:val="tx1"/>
            </w14:solidFill>
          </w14:textFill>
        </w:rPr>
        <w:t xml:space="preserve">话</w:t>
      </w:r>
      <w:r>
        <w:rPr>
          <w:rFonts w:hint="eastAsia" w:ascii="宋体" w:hAnsi="宋体" w:eastAsia="宋体"/>
          <w:color w:val="000000" w:themeColor="text1"/>
          <w:sz w:val="24"/>
          <w:szCs w:val="24"/>
          <w:highlight w:val="none"/>
          <w14:textFill>
            <w14:solidFill>
              <w14:schemeClr w14:val="tx1"/>
            </w14:solidFill>
          </w14:textFill>
        </w:rPr>
        <w:t xml:space="preserve">0512-60905019</w:t>
      </w:r>
      <w:r>
        <w:rPr>
          <w:rFonts w:hint="eastAsia" w:ascii="宋体" w:hAnsi="宋体" w:eastAsia="宋体"/>
          <w:color w:val="000000" w:themeColor="text1"/>
          <w:sz w:val="24"/>
          <w:szCs w:val="24"/>
          <w:highlight w:val="none"/>
          <w:u w:val="none"/>
          <w14:textFill>
            <w14:solidFill>
              <w14:schemeClr w14:val="tx1"/>
            </w14:solidFill>
          </w14:textFill>
        </w:rPr>
        <w:t xml:space="preserve">。</w:t>
      </w:r>
      <w:r/>
    </w:p>
    <w:p>
      <w:pPr>
        <w:ind w:firstLine="480"/>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项目联系人</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钱学花。</w:t>
      </w:r>
      <w:r/>
    </w:p>
    <w:p>
      <w:pPr>
        <w:ind w:firstLine="480"/>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outlineLvl w:val="2"/>
      </w:pPr>
      <w:r>
        <w:rPr>
          <w:rFonts w:hint="eastAsia" w:ascii="宋体" w:hAnsi="宋体" w:eastAsia="宋体"/>
          <w:color w:val="000000" w:themeColor="text1"/>
          <w:sz w:val="24"/>
          <w:szCs w:val="24"/>
          <w:highlight w:val="none"/>
          <w14:textFill>
            <w14:solidFill>
              <w14:schemeClr w14:val="tx1"/>
            </w14:solidFill>
          </w14:textFill>
        </w:rPr>
        <w:t xml:space="preserve">2、采购代理机构信息</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名称</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苏州正杰招投标咨询服务有限公司。</w:t>
      </w:r>
      <w:r/>
    </w:p>
    <w:p>
      <w:pPr>
        <w:ind w:firstLine="480"/>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地址</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苏州市平泷路251号苏州城市生活广场B座1557室。</w:t>
      </w:r>
      <w:r/>
    </w:p>
    <w:p>
      <w:pPr>
        <w:ind w:firstLine="480"/>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联系方式</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电话0512-62826523。</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项目联系人</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沈鹰、陈晓梦</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徐杰</w:t>
      </w:r>
      <w:r>
        <w:rPr>
          <w:rFonts w:hint="eastAsia" w:ascii="宋体" w:hAnsi="宋体" w:eastAsia="宋体"/>
          <w:color w:val="000000" w:themeColor="text1"/>
          <w:sz w:val="24"/>
          <w:szCs w:val="24"/>
          <w:highlight w:val="none"/>
          <w14:textFill>
            <w14:solidFill>
              <w14:schemeClr w14:val="tx1"/>
            </w14:solidFill>
          </w14:textFill>
        </w:rPr>
        <w:t xml:space="preserve">。</w:t>
      </w:r>
      <w:r/>
    </w:p>
    <w:p>
      <w:pPr>
        <w:pStyle w:val="951"/>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51"/>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51"/>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51"/>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51"/>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48"/>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4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51"/>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51"/>
        <w:jc w:val="both"/>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51"/>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sectPr>
          <w:footerReference w:type="default" r:id="rId13"/>
          <w:footnotePr/>
          <w:endnotePr/>
          <w:type w:val="nextPage"/>
          <w:pgSz w:w="11906" w:h="16838" w:orient="portrait"/>
          <w:pgMar w:top="1134" w:right="1134" w:bottom="1134" w:left="1134" w:header="851" w:footer="567" w:gutter="0"/>
          <w:pgNumType w:start="1"/>
          <w:cols w:num="1" w:sep="0" w:space="720" w:equalWidth="1"/>
          <w:docGrid w:linePitch="360"/>
        </w:sect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51"/>
        <w:jc w:val="center"/>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第二章 响应须知</w:t>
      </w:r>
      <w:r/>
    </w:p>
    <w:p>
      <w:pPr>
        <w:pStyle w:val="951"/>
        <w:ind w:firstLine="482"/>
        <w:jc w:val="left"/>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1.总则</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1.1响应单位资格要求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1.1.1详见第一章</w:t>
      </w:r>
      <w:r>
        <w:rPr>
          <w:rFonts w:hint="eastAsia" w:ascii="宋体" w:hAnsi="宋体" w:eastAsia="宋体" w:cs="宋体"/>
          <w:bCs/>
          <w:color w:val="000000" w:themeColor="text1"/>
          <w:sz w:val="24"/>
          <w:szCs w:val="24"/>
          <w:highlight w:val="none"/>
          <w14:textFill>
            <w14:solidFill>
              <w14:schemeClr w14:val="tx1"/>
            </w14:solidFill>
          </w14:textFill>
        </w:rPr>
        <w:t xml:space="preserve">竞争性磋商邀请函</w:t>
      </w:r>
      <w:r>
        <w:rPr>
          <w:rFonts w:hint="eastAsia" w:ascii="宋体" w:hAnsi="宋体" w:eastAsia="宋体" w:cs="宋体"/>
          <w:color w:val="000000" w:themeColor="text1"/>
          <w:sz w:val="24"/>
          <w:szCs w:val="24"/>
          <w:highlight w:val="none"/>
          <w14:textFill>
            <w14:solidFill>
              <w14:schemeClr w14:val="tx1"/>
            </w14:solidFill>
          </w14:textFill>
        </w:rPr>
        <w:t xml:space="preserve">中“二、申请人的资格要求”。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1.1.2响应单位不得存在下列情形之一：</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（1）苏州市财政局《关于印发苏州市市级政府采购信用记录查询和使用工作试行办法的通知》（苏财购（2017）11号）文件规定应拒绝的失信信息。</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（2）为采购项目提供整体设计、规范编制或者项目管理、监理、监测等服务的供应商，不得再参加该采购项目的其他采购活动；本项目的此类供应商是：无。</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（3）单位负责人为同一人或者存在直接控股、管理关系的不同供应商，不得参加同一合同项下的政府采购活动。</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1.2分包、转包</w:t>
      </w:r>
      <w:r/>
    </w:p>
    <w:p>
      <w:pPr>
        <w:ind w:left="525"/>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本项目不允许分包或转包。</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1.3投标费用</w:t>
      </w:r>
      <w:r/>
    </w:p>
    <w:p>
      <w:pPr>
        <w:ind w:left="525"/>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1.3.1供应商应自行承担所有准备及参加投标的相关费用。</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1.4保密</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参与采购活动的各方应对采购文件和响应文件中的商业和技术等秘密保密，否则应承担相应的法律责任。</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1.5语言文字</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采购文件响应文件使用的语言文字为中文。使用外文的，应附有中文注释或译本，对不同文本响应文件的解释发生异议的，以中文文本为准。因未附注释或译本引起的对供应商不利的后果由供应商自行承担。</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1.6计量单位</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除采购文件有特殊要求外，所有计量均采用中华人民共和国法定计量单位。</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1.7知识产权</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2.采购文件的说明</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2.1采购文件的获取</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见第一章竞争性磋商邀请函。</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采购文件的澄清或修改</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1采购人或采购代理机构无论出于自己的考虑，还是出于对供应商提问的澄清，均可对已发出的采购文件用补充通知（包括更正公告）的方式进行澄清或者修改，并通过苏州市政府采购网对外进行发布，但不得改变采购标的和资格条件。澄清或者修改的内容作为采购文件的组成部分，对所有供应商具有约束力。</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.2为保证供应商有足够时间修正响应文件，或出于其他合理原因，采购人或采购代理机构可依法顺延响应截止时间和开启时间。</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.4采购文件的澄清、修改、补充等内容均以苏州市政府采购网上发布的内容为准。</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3.响应文件说明</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响应单位应详细阅读采购文件的全部内容，不按采购文件的要求提供的响应文件和资料，其风险由响应单位自行承担，并根据有关条款规定，可能导致响应无效。</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3.1磋商保证金：无。</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3.2响应文件的组成</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3.2.1封面；</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3.2.2开标一览表（格式见第三章）；</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3.2.3磋商响应明细报价表（如有，格式见第三章）；</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3.2.4资格审查响应文件：</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3.2.4.1供应商的资格要求：</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（2）具有良好的商业信誉和健全的财务会计制度的材料：包括但不限于法人提供2023年度或2024年度经审计的财务报告或基本开户银行在本年度内出具的资信证明复印件；</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（3）具有履行合同所必需的设备和专业技术能力的证明材料复印件或承诺；</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（5）参加政府采购活动前三年内，在经营活动中没有出现重大违法记录的书面声明函；</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（6）按照相关法律法规参与本项目所必须取得国家有关主管部门的行政许可证明资料复印件（如有须提供）；</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（7）《中小企业声明函》或《残疾人福利性单位声明函》或由省级以上监狱管理局、戒毒管理局（含新疆生产建设兵团）出具的属于监狱企业的证明文件。</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3.2.4.2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第一标段：</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具备有效的医疗机构执业许可证。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第二标段：具备有效的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医疗机构执业许可证，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二级及以上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生物安全实验室备案证书，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临床基因扩增检验实验室技术验收合格证书。</w:t>
      </w:r>
      <w:r/>
    </w:p>
    <w:p>
      <w:pPr>
        <w:ind w:left="5" w:firstLine="520"/>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3.2.5符合性审查响应文件：</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3.2.5.1磋商响应函（格式见第三章）；</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3.2.5.2关于资格文件的声明函（格式见第三章）；</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3.2.5.3法定代表人身份证复印件；</w:t>
      </w:r>
      <w:r/>
    </w:p>
    <w:p>
      <w:pPr>
        <w:ind w:left="5" w:firstLine="518"/>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3.2.5.4法定代表人授权委托书及授权委托人身份证复印件（如有授权，格式见第三章）；</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3.2.5.5未被“信用中国”、“信用江苏”及“中国政府采购网”列入失信被执行人、重大税收违法案件当事人名单、政府采购严重失信行为记录名单的查询记录页面截图；</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3.2.5.6对属于《节能产品政府采购品目清单》政府强制采购产品的，须提供该产品有效期内的认证等相关证明材料（若有）；</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3.2.5.7其他有关符合性证明的文件（若有）。</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3.2.6综合评审响应文件(见第六章)；</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3.2.7与本次采购相关的其他证明材料。</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以上3.2.2-3.2.3项为供应商报价的依据，响应供应商必须提供并加盖电子公章，否则，磋商响应文件将被认定为未实质性响应。</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以上3.2.4.1-3.2.4.2项为资格审查提供的资料，是作为对供应商资格审查、质疑身份认定的依据，响应供应商必须提供并加盖电子公章，否则，磋商响应文件将被认定为不符合资格审查要求。</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以上3.2.5.1-3.2.5.4为符合性审查必须提供的资料，响应供应商必须提供并加盖电子公章，否则，磋商响应文件将被认定为未实质性响应。</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制作电子响应文件时需与响应文件制作软件目录一一对应，将相关资料上传至相应模块。</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供应商应保证上传的响应文件完整、清晰可辨认，若因上传资料过小或模糊不清等无法辨认的都视为该资料未提供。</w:t>
      </w:r>
      <w:r/>
    </w:p>
    <w:p>
      <w:pPr>
        <w:ind w:firstLine="472"/>
        <w:spacing w:line="360" w:lineRule="auto"/>
        <w:tabs>
          <w:tab w:val="left" w:pos="540" w:leader="none"/>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如供应商响应文件中某些条款不响应磋商文件提出的全部服务内容与要求，须在响应文件中逐条列出，未列出的视同响应。</w:t>
      </w:r>
      <w:r/>
    </w:p>
    <w:p>
      <w:pPr>
        <w:ind w:firstLine="482"/>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如不同供应商使用同一台电脑制作的电子响应文件的，双方“文件制作机器码”一致的，则其响应文件将被认定为无效响应。</w:t>
      </w:r>
      <w:r/>
    </w:p>
    <w:p>
      <w:pPr>
        <w:ind w:left="525"/>
        <w:spacing w:line="360" w:lineRule="auto"/>
        <w:tabs>
          <w:tab w:val="left" w:pos="142" w:leader="none"/>
          <w:tab w:val="left" w:pos="6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3.3响应报价</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3.3.1响应报价应包括完成本采购项目全部内容的一切费用，除非合同条款中另有规定，响应单位所报价格在合同实施期间不因市场变化因素而变动。</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3.3.2如果采购文件要求分标段投标的，则供应商可以根据自身经营许可范围，选择响应其中部分或者全部标段，但各标段应分别计算填写单价和总价。</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3.3.3供应商应对所投项目的全部内容进行报价，只对其中部分内容报价的，其响应无效。</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3.3.4一项采购内容只允许一个报价，任何有选择性响应报价的，其响应无效。</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3.2.5响应文件报价中的单价和总价全部采用人民币表示，除非另有规定。</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3.3.6任意一次报价（包括首次报价、最后报价）超过磋商文件中规定的预算金额或者最高限价的，其响应文件按无效文件处理。</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3.3.7除因磋商文件修改导致成本增加外，供应商最后报价超过首次报价的（响应文件中的报价），其响应文件按无效文件处理。</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3.3.8报价的大写金额和小写金额不一致的，以大写金额为准。</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3.3.9单价金额小数点或者百分比有明显错位的，以该次报价总价为准。</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3.3.10总价金额与按单价汇总金额不一致的，以单价金额计算结果为准。</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3.4电子响应文件的编制与提交</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3.4.1响应文件编制要求：本项目为网上招投标项目，请供应商插入CA 证书登录“苏采云”系统下载客户端（参与项目页面可下载客户端及客户端使用说明），在客户端编制电子响应文件并进行CA加密。操作步骤详见“苏采云”系统页面提示和《操作手册》。</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3.4.2电子响应文件递交：供应商应当按照《操作手册》指引，在响应文件提交截止时间前完成电子响应文件的上传，未按要求成功上传的响应文件视为未递交。供应商应充分考虑到网络环境、网络带宽等风险因素，如因供应商自身原因造成的电子响应文件上传不成功由供应商自行承担全部责任。</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注：（1）请供应商务必保管好编制递交电子响应文件时使用的CA，如因丢失、损坏等原因更换CA锁时，需重新制作电子响应文件并递交，否则可能无法解密，因此导致的响应失败等不利后果由供应商自行承担。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如本项目在政府采购信息发布媒体上发布了更正（补充）公告，请供应商务必在“苏采云”系统中下载更正（补充）资料，根据更正后的采购文件重新编制电子响应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3.4.3响应文件未按照磋商文件要求加盖CA电子公章的，响应无效。</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3.5响应文件的开启（解密）</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3.5.1线上参加（观看）开标（开启）会方式：登录苏采云系统，点击“开标大厅”，选择对应项目。</w:t>
      </w:r>
      <w:r/>
    </w:p>
    <w:p>
      <w:pPr>
        <w:ind w:left="5" w:firstLine="518"/>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3.5.2供应商应当按照《操作手册》规定，在苏采云系统规定的时间内对磋商响应文件进行解密。等待开标流程进入“解锁环境”，点击“点击立即解密”进行标书解密，解锁完成后及时关注开标大厅，等待后续报价、答疑澄清等提示，</w:t>
      </w:r>
      <w:r>
        <w:rPr>
          <w:rFonts w:hint="eastAsia" w:ascii="宋体" w:hAnsi="宋体" w:eastAsia="宋体" w:cs="宋体"/>
          <w:b/>
          <w:bCs/>
          <w:color w:val="000000" w:themeColor="text1"/>
          <w:sz w:val="24"/>
          <w:szCs w:val="24"/>
          <w:highlight w:val="none"/>
          <w14:textFill>
            <w14:solidFill>
              <w14:schemeClr w14:val="tx1"/>
            </w14:solidFill>
          </w14:textFill>
        </w:rPr>
        <w:t xml:space="preserve">否则导致的对供应商不利的后果由供应商自行承担。</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bookmarkStart w:id="2" w:name="_Hlk154589874"/>
      <w:r>
        <w:rPr>
          <w:rFonts w:hint="eastAsia" w:ascii="宋体" w:hAnsi="宋体" w:eastAsia="宋体" w:cs="宋体"/>
          <w:b/>
          <w:bCs/>
          <w:color w:val="000000" w:themeColor="text1"/>
          <w:sz w:val="24"/>
          <w:szCs w:val="24"/>
          <w:highlight w:val="none"/>
          <w14:textFill>
            <w14:solidFill>
              <w14:schemeClr w14:val="tx1"/>
            </w14:solidFill>
          </w14:textFill>
        </w:rPr>
        <w:t xml:space="preserve">3.5.3供应商在苏采云系统规定的时间内未成功解密电子响应文件的，响应无效。</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3.5.4供应商电脑环境最低要求：谷歌浏览器，版本可直接网上下载最新版本即可。如需收听现场语音需配置放音设备，如视频直播、互动交流使用异常，请刷新网页，如仍无法解决，请联系技术支持。</w:t>
      </w:r>
      <w:bookmarkEnd w:id="2"/>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3.5.5 CA技术咨询服务电话：400-608-6099；</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电子签章技术咨询服务电话：025-83633811、025-83633812、15380932027、15371015030；</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苏州市及区县“苏采云”系统使用指导与咨询：联系电话：0512-69820854、18261002950；QQ：3048755361、1315179389、895706745；智能客服：登录苏采云系统后，联系系统右下方智能客服图标进行咨询。 </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3.6响应文件的修改和撤回</w:t>
      </w:r>
      <w:r/>
    </w:p>
    <w:p>
      <w:pPr>
        <w:pStyle w:val="96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3.6.1供应商在提交响应文件截止时间前，可以对所递交的响应文件进行补充、修改或者撤回，具体操作方法见《操作手册》。提交响应文件截止时间后供应商不得撤回响应文件。</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4.磋商程序</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4.1磋商小组</w:t>
      </w:r>
      <w:r/>
    </w:p>
    <w:p>
      <w:pPr>
        <w:pStyle w:val="96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4.1.1采购代理机构负责组织评审工作；磋商小组由相关专家及采购人代表组成，负责具体评审事务，并独立履行法律、法规规定的职责。</w:t>
      </w:r>
      <w:r/>
    </w:p>
    <w:p>
      <w:pPr>
        <w:pStyle w:val="96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4.1.2磋商小组与参加采购活动的供应商存在下列利害关系之一的，应当回避:</w:t>
      </w:r>
      <w:r/>
    </w:p>
    <w:p>
      <w:pPr>
        <w:pStyle w:val="96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(一)参加采购活动前三年内，与供应商存在劳动关系，或者担任过供应商的董事、监事，或者是供应商的控股股东或实际控制人；</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(二)与供应商的法定代表人或者负责人有夫妻、直系血亲、三代以内旁系血亲或者近姻亲关系；</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(三)与供应商有其他可能影响政府采购活动公平、公正进行的关系。</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磋商小组发现本人与参加采购活动的供应商有利害关系的，应当主动提出回避。采购人或者采购代理机构发现磋商小组与参加采购活动的供应商有利害关系的，应当要求其回避。</w:t>
      </w:r>
      <w:r/>
    </w:p>
    <w:p>
      <w:pPr>
        <w:pStyle w:val="96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pStyle w:val="96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4.1.4磋商小组成员应当按照客观、公正、审慎的原则，根据采购文件规定的评审程序、评审方法和评审标准进行独立评审。</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4.2资格审查</w:t>
      </w:r>
      <w:r/>
    </w:p>
    <w:p>
      <w:pPr>
        <w:pStyle w:val="96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4.2.1由磋商小组按磋商文件的资格条件进行资格性审查，</w:t>
      </w:r>
      <w:r>
        <w:rPr>
          <w:rFonts w:hint="eastAsia" w:ascii="宋体" w:hAnsi="宋体" w:eastAsia="宋体" w:cs="宋体"/>
          <w:b/>
          <w:color w:val="000000" w:themeColor="text1"/>
          <w:sz w:val="24"/>
          <w:szCs w:val="24"/>
          <w:highlight w:val="none"/>
          <w14:textFill>
            <w14:solidFill>
              <w14:schemeClr w14:val="tx1"/>
            </w14:solidFill>
          </w14:textFill>
        </w:rPr>
        <w:t xml:space="preserve">未通过资格审查的响应无效。</w:t>
      </w:r>
      <w:r/>
    </w:p>
    <w:p>
      <w:pPr>
        <w:pStyle w:val="96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（1）查询时间：响应文件递交截止时间。</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（2）查询渠道：通过“信用中国”、“信用江苏”及“中国政府采购网” 上的信用信息查询供应商的信用记录。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查询证据留存方式：对存在失信信息的供应商，评审小组应填写《苏州市级政府采购供应商失信信息确认函》，由失信供应商签名（章）确认。采购代理机构工作人员应登录到来源网站页面进行复核并打印，作为证据留存。</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000000" w:themeColor="text1"/>
          <w:sz w:val="24"/>
          <w:szCs w:val="24"/>
          <w:highlight w:val="none"/>
          <w14:textFill>
            <w14:solidFill>
              <w14:schemeClr w14:val="tx1"/>
            </w14:solidFill>
          </w14:textFill>
        </w:rPr>
        <w:t xml:space="preserve">信用记录属于应依法拒绝供应商参加政府采购的失信信息，存在此类失信信息</w:t>
      </w:r>
      <w:r>
        <w:rPr>
          <w:rFonts w:hint="eastAsia" w:ascii="宋体" w:hAnsi="宋体" w:eastAsia="宋体" w:cs="宋体"/>
          <w:b/>
          <w:color w:val="000000" w:themeColor="text1"/>
          <w:sz w:val="24"/>
          <w:szCs w:val="24"/>
          <w:highlight w:val="none"/>
          <w14:textFill>
            <w14:solidFill>
              <w14:schemeClr w14:val="tx1"/>
            </w14:solidFill>
          </w14:textFill>
        </w:rPr>
        <w:t xml:space="preserve">的供应商的响应文件应按无效文件处理。</w:t>
      </w:r>
      <w:r/>
    </w:p>
    <w:p>
      <w:pPr>
        <w:pStyle w:val="96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4.2.3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4.3磋商</w:t>
      </w:r>
      <w:r/>
    </w:p>
    <w:p>
      <w:pPr>
        <w:pStyle w:val="96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4.3.1本项目采用线上磋商，磋商小组通过苏采云系统向供应商发布“磋商函”，供应商可通过查看【磋商响应】菜单中的待办信息，应当按照要求在苏采云系统提交“磋商响应函”并加盖CA电子公章，</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具体操作方式见《操作手册》</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6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磋商小组认为有必要与供应商进行磋商的，</w:t>
      </w:r>
      <w:r>
        <w:rPr>
          <w:rFonts w:hint="eastAsia" w:ascii="宋体" w:hAnsi="宋体" w:eastAsia="宋体" w:cs="宋体"/>
          <w:color w:val="000000" w:themeColor="text1"/>
          <w:sz w:val="24"/>
          <w:szCs w:val="24"/>
          <w:highlight w:val="none"/>
          <w14:textFill>
            <w14:solidFill>
              <w14:schemeClr w14:val="tx1"/>
            </w14:solidFill>
          </w14:textFill>
        </w:rPr>
        <w:t xml:space="preserve">磋商供应商按顺序进行磋商。磋商小组所有成员应当集中与单一供应商分别进行磋商，并给予所有参加磋商的供应商平等的磋商机会。</w:t>
      </w:r>
      <w:r/>
    </w:p>
    <w:p>
      <w:pPr>
        <w:pStyle w:val="96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pStyle w:val="96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pStyle w:val="96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4.3.5供应商应当在规定时间内按照磋商文件的变动情况和磋商小组的要求在苏采云系统中重新提交响应文件，并加盖CA电子公章。重新提交的响应文件按磋商文件进行评审。</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未按要求重新提交响应文件的按响应无效处理。</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4.4澄清</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6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4.4.1本项目采用线上澄清。</w:t>
      </w:r>
      <w:r/>
    </w:p>
    <w:p>
      <w:pPr>
        <w:pStyle w:val="96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pStyle w:val="96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4.4.3接到磋商小组澄清、说明和更正要求的供应商如未按规定做出澄清、说明和更正，其风险由供应商自行承担。</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4.5最后报价</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4.5.1磋商结束后，磋商小组应当要求所有继续参加磋商的供应商在规定时间内提交最后报价（</w:t>
      </w:r>
      <w:r>
        <w:rPr>
          <w:rFonts w:hint="eastAsia" w:ascii="宋体" w:hAnsi="宋体" w:eastAsia="宋体" w:cs="宋体"/>
          <w:b/>
          <w:color w:val="000000" w:themeColor="text1"/>
          <w:sz w:val="24"/>
          <w:szCs w:val="24"/>
          <w:highlight w:val="none"/>
          <w14:textFill>
            <w14:solidFill>
              <w14:schemeClr w14:val="tx1"/>
            </w14:solidFill>
          </w14:textFill>
        </w:rPr>
        <w:t xml:space="preserve">除因磋商文件修改导致成本增加，最后报价不得超过一次报价，否则为无效响应报价</w:t>
      </w:r>
      <w:r>
        <w:rPr>
          <w:rFonts w:hint="eastAsia" w:ascii="宋体" w:hAnsi="宋体" w:eastAsia="宋体" w:cs="宋体"/>
          <w:color w:val="000000" w:themeColor="text1"/>
          <w:sz w:val="24"/>
          <w:szCs w:val="24"/>
          <w:highlight w:val="none"/>
          <w14:textFill>
            <w14:solidFill>
              <w14:schemeClr w14:val="tx1"/>
            </w14:solidFill>
          </w14:textFill>
        </w:rPr>
        <w:t xml:space="preserve">），最后报价作为评审价格（各磋商供应商可提供最后报价总价或最后报价总价的明细报价；若未提供明细报价的则合同单价按最终报价与第一次报价总价的下浮比例同比例下浮）。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最后报价是供应商响应文件的有效组成部分。</w:t>
      </w:r>
      <w:r/>
    </w:p>
    <w:p>
      <w:pPr>
        <w:ind w:left="5" w:firstLine="518"/>
        <w:spacing w:line="360" w:lineRule="auto"/>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4.5.2本项目采用线上最后报价：磋商小组将在苏采云系统中向符合条件的供应商发布“最后报价要求函”及分项报价表，要求其在规定时间内提交最后报价。因供应商自身原因导致线上报价失败的后果由供应商自行承担。</w:t>
      </w:r>
      <w:r>
        <w:rPr>
          <w:rFonts w:hint="eastAsia" w:ascii="宋体" w:hAnsi="宋体" w:eastAsia="宋体" w:cs="宋体"/>
          <w:b/>
          <w:bCs/>
          <w:color w:val="000000" w:themeColor="text1"/>
          <w:sz w:val="24"/>
          <w:szCs w:val="24"/>
          <w:highlight w:val="none"/>
          <w14:textFill>
            <w14:solidFill>
              <w14:schemeClr w14:val="tx1"/>
            </w14:solidFill>
          </w14:textFill>
        </w:rPr>
        <w:t xml:space="preserve">供应商未在磋商小组规定的时间内在苏采云系统中提交最后报价的视为放弃磋商，其响应文件按无效响应处理，提交最后报价须加盖CA电子公章，否则视为未提交最后报价。</w:t>
      </w:r>
      <w:r>
        <w:rPr>
          <w:rFonts w:hint="eastAsia" w:ascii="宋体" w:hAnsi="宋体" w:eastAsia="宋体" w:cs="宋体"/>
          <w:color w:val="000000" w:themeColor="text1"/>
          <w:sz w:val="24"/>
          <w:szCs w:val="24"/>
          <w:highlight w:val="none"/>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ind w:left="5" w:firstLine="518"/>
        <w:spacing w:line="360" w:lineRule="auto"/>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提前熟悉线上报价操作方法：若评审组长发起最后报价，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left="5" w:firstLine="518"/>
        <w:spacing w:line="360" w:lineRule="auto"/>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4.5.3评审过程中出现下列情形之一的，评审委员会应当启动异常低价投标（响应）审查程序：</w:t>
      </w:r>
      <w:r/>
    </w:p>
    <w:p>
      <w:pPr>
        <w:ind w:left="5" w:firstLine="518"/>
        <w:spacing w:line="360" w:lineRule="auto"/>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4"/>
          <w:szCs w:val="24"/>
          <w:highlight w:val="none"/>
          <w14:textFill>
            <w14:solidFill>
              <w14:schemeClr w14:val="tx1"/>
            </w14:solidFill>
          </w14:textFill>
        </w:rPr>
        <w:t xml:space="preserve">投标（响应）报价低于采购项目预算50%的，即投标（响应）报价&lt;采购项目预算×50%；</w:t>
      </w:r>
      <w:r/>
    </w:p>
    <w:p>
      <w:pPr>
        <w:ind w:left="5" w:firstLine="518"/>
        <w:spacing w:line="360" w:lineRule="auto"/>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4"/>
          <w:szCs w:val="24"/>
          <w:highlight w:val="none"/>
          <w14:textFill>
            <w14:solidFill>
              <w14:schemeClr w14:val="tx1"/>
            </w14:solidFill>
          </w14:textFill>
        </w:rPr>
        <w:t xml:space="preserve">投标（响应）报价低于采购项目最高限价45%的，即投标（响应）报价&lt;采购项目最高限价×45%； </w:t>
      </w:r>
      <w:r/>
    </w:p>
    <w:p>
      <w:pPr>
        <w:ind w:left="5" w:firstLine="518"/>
        <w:spacing w:line="360" w:lineRule="auto"/>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③磋商小组</w:t>
      </w:r>
      <w:r>
        <w:rPr>
          <w:rFonts w:hint="eastAsia" w:ascii="宋体" w:hAnsi="宋体" w:eastAsia="宋体" w:cs="宋体"/>
          <w:color w:val="000000" w:themeColor="text1"/>
          <w:sz w:val="24"/>
          <w:szCs w:val="24"/>
          <w:highlight w:val="none"/>
          <w14:textFill>
            <w14:solidFill>
              <w14:schemeClr w14:val="tx1"/>
            </w14:solidFill>
          </w14:textFill>
        </w:rPr>
        <w:t xml:space="preserve">认定的供应商报价过低、有可能影响产品质量或者不能诚信履约的其他情形。 </w:t>
      </w:r>
      <w:r/>
    </w:p>
    <w:p>
      <w:pPr>
        <w:ind w:left="5" w:firstLine="518"/>
        <w:spacing w:line="360" w:lineRule="auto"/>
        <w:tabs>
          <w:tab w:val="left" w:pos="0"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4.5.4</w:t>
      </w:r>
      <w:r>
        <w:rPr>
          <w:rFonts w:hint="eastAsia" w:ascii="宋体" w:hAnsi="宋体" w:eastAsia="宋体" w:cs="宋体"/>
          <w:color w:val="000000" w:themeColor="text1"/>
          <w:sz w:val="24"/>
          <w:szCs w:val="24"/>
          <w:highlight w:val="none"/>
          <w14:textFill>
            <w14:solidFill>
              <w14:schemeClr w14:val="tx1"/>
            </w14:solidFill>
          </w14:textFill>
        </w:rPr>
        <w:t xml:space="preserve">启动异常低价响应审查后，磋商小组应当要求相关供应商在评标现场合理的时间内（线上开评标项目可通过苏采云系统要求提供），提供项目具体成本测算等与报价合理性相关的书面说明及相关证明材料，对响应价格作出解释，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24"/>
          <w:highlight w:val="none"/>
          <w14:textFill>
            <w14:solidFill>
              <w14:schemeClr w14:val="tx1"/>
            </w14:solidFill>
          </w14:textFill>
        </w:rPr>
        <w:t xml:space="preserve">结合同类产品在主要电商平台的价格、该行业当地薪资水平等情况，依据专业经验对供应商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报</w:t>
      </w:r>
      <w:r>
        <w:rPr>
          <w:rFonts w:hint="eastAsia" w:ascii="宋体" w:hAnsi="宋体" w:eastAsia="宋体" w:cs="宋体"/>
          <w:color w:val="000000" w:themeColor="text1"/>
          <w:sz w:val="24"/>
          <w:szCs w:val="24"/>
          <w:highlight w:val="none"/>
          <w14:textFill>
            <w14:solidFill>
              <w14:schemeClr w14:val="tx1"/>
            </w14:solidFill>
          </w14:textFill>
        </w:rPr>
        <w:t xml:space="preserve">价合理性进行判断。响应供应商不提供书面说明、证明材料，或者提供的书面说明、证明材料不能证明其报价合理性的，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24"/>
          <w:highlight w:val="none"/>
          <w14:textFill>
            <w14:solidFill>
              <w14:schemeClr w14:val="tx1"/>
            </w14:solidFill>
          </w14:textFill>
        </w:rPr>
        <w:t xml:space="preserve">应当将其作为无效响应处理。审查相关情况 应当在评审报告中进行记录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962"/>
        <w:ind w:left="420" w:firstLine="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4.5.4未在规定时间提交最后报价的，响应文件按无效处理。</w:t>
      </w:r>
      <w:r/>
    </w:p>
    <w:p>
      <w:pPr>
        <w:pStyle w:val="962"/>
        <w:ind w:left="420" w:firstLine="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4.5.5在规定时间内提交最后报价的供应商少于3家的，项目终止。</w:t>
      </w:r>
      <w:r/>
    </w:p>
    <w:p>
      <w:pPr>
        <w:pStyle w:val="96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4.5.6如磋商过程中出现本磋商文件未尽事宜，由磋商小组根据政府采购有关法律、法规讨论决定。</w:t>
      </w:r>
      <w:r/>
    </w:p>
    <w:p>
      <w:pPr>
        <w:pStyle w:val="962"/>
        <w:ind w:firstLine="42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5.成交</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5.1本项目评标方法采用综合评分法，即指响应文件满足采购文件全部实质性要求，且按照评审因素的量化指标评审得分最高的供应商为成交候选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的评标方法。磋商小组应当根据综合评分情况，按照评审得分由高到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低</w:t>
      </w:r>
      <w:r>
        <w:rPr>
          <w:rFonts w:hint="eastAsia" w:ascii="宋体" w:hAnsi="宋体" w:eastAsia="宋体" w:cs="宋体"/>
          <w:color w:val="000000" w:themeColor="text1"/>
          <w:sz w:val="24"/>
          <w:szCs w:val="24"/>
          <w:highlight w:val="none"/>
          <w14:textFill>
            <w14:solidFill>
              <w14:schemeClr w14:val="tx1"/>
            </w14:solidFill>
          </w14:textFill>
        </w:rPr>
        <w:t xml:space="preserve">顺序推荐3名以上成交候选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并编写评审报告。</w:t>
      </w:r>
      <w:r>
        <w:rPr>
          <w:rFonts w:hint="eastAsia" w:ascii="宋体" w:hAnsi="宋体" w:eastAsia="宋体" w:cs="宋体"/>
          <w:color w:val="000000" w:themeColor="text1"/>
          <w:sz w:val="24"/>
          <w:szCs w:val="24"/>
          <w:highlight w:val="none"/>
          <w14:textFill>
            <w14:solidFill>
              <w14:schemeClr w14:val="tx1"/>
            </w14:solidFill>
          </w14:textFill>
        </w:rPr>
        <w:t xml:space="preserve">评审得分相同的，按照最后报价由低到高的顺序推荐，评审得分且最后报价相同的，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按照技术指标优劣顺序推荐。</w:t>
      </w:r>
      <w:r/>
    </w:p>
    <w:p>
      <w:pPr>
        <w:pStyle w:val="96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5.2</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本项目由采购人书面授权磋商小组直接确定成交供应商，</w:t>
      </w:r>
      <w:r>
        <w:rPr>
          <w:rFonts w:hint="eastAsia" w:ascii="宋体" w:hAnsi="宋体" w:eastAsia="宋体" w:cs="宋体"/>
          <w:color w:val="000000" w:themeColor="text1"/>
          <w:sz w:val="24"/>
          <w:szCs w:val="24"/>
          <w:highlight w:val="none"/>
          <w14:textFill>
            <w14:solidFill>
              <w14:schemeClr w14:val="tx1"/>
            </w14:solidFill>
          </w14:textFill>
        </w:rPr>
        <w:t xml:space="preserve">并将结果通知所有参加磋商的供应商。</w:t>
      </w:r>
      <w:r/>
    </w:p>
    <w:p>
      <w:pPr>
        <w:pStyle w:val="96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5.3采购人或者采购代理机构应当在成交供应商确定后2个工作日内，在政府采购信息媒体上发布成交结果，成交公告期限为1个工作日。</w:t>
      </w:r>
      <w:r/>
    </w:p>
    <w:p>
      <w:pPr>
        <w:pStyle w:val="96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5.4采购人或采购代理机构根据相关规定发布成交公告，成交公告发出的同时应当向成交供应商发出《成交通知书》</w:t>
      </w:r>
      <w:bookmarkStart w:id="3" w:name="_Hlk132385577"/>
      <w:r/>
      <w:bookmarkStart w:id="4" w:name="_Hlk132389804"/>
      <w:r/>
      <w:bookmarkStart w:id="5" w:name="_Hlk132385599"/>
      <w:r>
        <w:rPr>
          <w:rFonts w:hint="eastAsia" w:ascii="宋体" w:hAnsi="宋体" w:eastAsia="宋体" w:cs="宋体"/>
          <w:color w:val="000000" w:themeColor="text1"/>
          <w:sz w:val="24"/>
          <w:szCs w:val="24"/>
          <w:highlight w:val="none"/>
          <w14:textFill>
            <w14:solidFill>
              <w14:schemeClr w14:val="tx1"/>
            </w14:solidFill>
          </w14:textFill>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3"/>
      <w:r/>
      <w:bookmarkEnd w:id="4"/>
      <w:r/>
      <w:bookmarkEnd w:id="5"/>
      <w:r>
        <w:rPr>
          <w:rFonts w:hint="eastAsia" w:ascii="宋体" w:hAnsi="宋体" w:eastAsia="宋体" w:cs="宋体"/>
          <w:color w:val="000000" w:themeColor="text1"/>
          <w:sz w:val="24"/>
          <w:szCs w:val="24"/>
          <w:highlight w:val="none"/>
          <w14:textFill>
            <w14:solidFill>
              <w14:schemeClr w14:val="tx1"/>
            </w14:solidFill>
          </w14:textFill>
        </w:rPr>
        <w:t xml:space="preserve">对未通过资格性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pStyle w:val="96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5.5成交通知书发出后，采购人不得违法改变成交结果，成交供应商无正当理由不得放弃成交。</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6.履约保证金：</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见第五章合同文本履约保证金条款。</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7.项目终止</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出现下列情形之一的，采购人或者采购代理机构应当终止竞争性磋商采购活动，发布项目终止公告并说明原因，重新开展采购活动：</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（1）因情况变化，不再符合规定的竞争性磋商采购方式适用情形的；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（2）出现影响采购公正的违法、违规行为的；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（3）在采购过程中符合竞争要求的供应商或者报价未超过采购预算的供应商不足3家的，但符合《政府采购竞争性磋商采购方式管理暂行办法》第三条第四项的情形除外。</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项目终止后，采购代理机构应当将项目终止的理由告知所有供应商。</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8.合同</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8.1采购人应当自成交通知书发出之日起15日内（最迟30日内），按照采购文件及响应文件规定与成交单位签订书面合同。</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8.3采购人不得向成交供应商提出任何不合理的要求作为签订合同的条件，不得与成交供应商私下订立背离合同实质性内容的协议。</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8.5成交供应商无正当理由不得放弃成交。</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9.质疑</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9.1质疑及答复遵守《政府采购质疑和投诉办法》（中华人民共和国财政部令第94号）规定。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供应商认为采购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9.3供应商应当在法定质疑期内一次性提出针对同一采购程序环节的质疑。供应商如在法定期限内对同一采购程序环节提出多次质疑的，采购代理机构、采购人将只对供应商第一次质疑作出答复。</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9.4对采购文件内容质疑时，需提供在苏采云系统中下载本项目磋商文件的《投标供应商确认函》，未提供的视为未依照采购公告要求获取磋商文件的供应商，不具备对该政府采购项目提出质疑的法定权利。</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9.5接收质疑函的方式为书面形式（当场送达或邮寄方式）</w:t>
      </w:r>
      <w:r>
        <w:rPr>
          <w:rFonts w:hint="eastAsia" w:ascii="宋体" w:hAnsi="宋体" w:eastAsia="宋体" w:cs="宋体"/>
          <w:bCs/>
          <w:color w:val="000000" w:themeColor="text1"/>
          <w:sz w:val="24"/>
          <w:szCs w:val="24"/>
          <w:highlight w:val="none"/>
          <w14:textFill>
            <w14:solidFill>
              <w14:schemeClr w14:val="tx1"/>
            </w14:solidFill>
          </w14:textFill>
        </w:rPr>
        <w:t xml:space="preserve">向采购人、采购代理机构提出质疑，联系人、联系电话和通讯地址等信息以采购公告中本次采购活动联系事项为准</w:t>
      </w:r>
      <w:r>
        <w:rPr>
          <w:rFonts w:hint="eastAsia" w:ascii="宋体" w:hAnsi="宋体" w:eastAsia="宋体" w:cs="宋体"/>
          <w:color w:val="000000" w:themeColor="text1"/>
          <w:sz w:val="24"/>
          <w:szCs w:val="24"/>
          <w:highlight w:val="none"/>
          <w14:textFill>
            <w14:solidFill>
              <w14:schemeClr w14:val="tx1"/>
            </w14:solidFill>
          </w14:textFill>
        </w:rPr>
        <w:t xml:space="preserve">。供应商质疑函范本格式请参照“苏州市政府采购”网站——“下载中心”——“</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政府采购供应商质疑函范本</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2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10.响应文件的有效期</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10.1响应文件的有效期自提交响应文件的截止之日起九十天，响应文件应保持有效。响应文件的有效期不明确或短于上述规定期限的，响应文件无效。</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10.2在特殊情况下，采购人可与供应商协商延长响应文件的有效期，这种要求和答复都应以书面形式进行。</w:t>
      </w:r>
      <w:r/>
    </w:p>
    <w:p>
      <w:pPr>
        <w:ind w:firstLine="52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11.代理服务费：由成交供应商承担。</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11.1代理服务费以采购预算金额为基数依据，按如下规定的标准和差额定率累进法进行计算收取：</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预算金额100万元以下部分，费率为该部分预算金额的1.5％；</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预算金额100万元（含）－500万元部分，费率为该部分预算金额的1.1％；</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预算金额500万元（含）－1000万元部分，费率为该部分预算金额的0.8％；</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预算金额1000万元（含）－5000万元部分，费率为该部分预算金额的0.5％；</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预算金额5000万元以上部分，费率为该部分预算金额的0.25％。</w:t>
      </w:r>
      <w:r/>
    </w:p>
    <w:p>
      <w:pPr>
        <w:ind w:firstLine="518"/>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本项目代理服务费（人民币）：</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第一标段20500.00元；第二标段6750.00元</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11.2采购代理机构服务费账号如下：</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收款单位：苏州正杰招投标咨询服务有限公司。</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银行账号：89190154740002582。</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开户银行：上海浦东发展银行苏州姑苏支行。</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11.3</w:t>
      </w:r>
      <w:r>
        <w:rPr>
          <w:rFonts w:hint="eastAsia" w:ascii="宋体" w:hAnsi="宋体" w:eastAsia="宋体" w:cs="宋体"/>
          <w:color w:val="000000" w:themeColor="text1"/>
          <w:sz w:val="24"/>
          <w:szCs w:val="24"/>
          <w:highlight w:val="none"/>
          <w14:textFill>
            <w14:solidFill>
              <w14:schemeClr w14:val="tx1"/>
            </w14:solidFill>
          </w14:textFill>
        </w:rPr>
        <w:t xml:space="preserve">代理服务费由成交供应商在领取成交通知书时一次性付清并含在其响应报价中。</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11.4成交单位如果未按上述规定缴纳成交服务费，采购代理机构将保留诉讼的权利。</w:t>
      </w:r>
      <w:r/>
    </w:p>
    <w:p>
      <w:pPr>
        <w:ind w:firstLine="52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12.其他事项</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按《中华人民共和国政府采购法》及其他有关法律法规的规定执行。</w:t>
      </w:r>
      <w:r/>
    </w:p>
    <w:p>
      <w:pPr>
        <w:pStyle w:val="952"/>
        <w:ind w:firstLine="0"/>
        <w:jc w:val="center"/>
        <w:spacing w:line="360" w:lineRule="auto"/>
        <w:rPr>
          <w:rFonts w:hint="eastAsia"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r>
      <w:r/>
    </w:p>
    <w:p>
      <w:pPr>
        <w:pStyle w:val="952"/>
        <w:ind w:firstLine="0"/>
        <w:jc w:val="center"/>
        <w:spacing w:line="360" w:lineRule="auto"/>
        <w:rPr>
          <w:rFonts w:hint="eastAsia"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r>
      <w:r/>
    </w:p>
    <w:p>
      <w:pPr>
        <w:pStyle w:val="952"/>
        <w:ind w:firstLine="0"/>
        <w:jc w:val="center"/>
        <w:spacing w:line="360" w:lineRule="auto"/>
        <w:rPr>
          <w:rFonts w:hint="eastAsia"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r>
      <w:r/>
    </w:p>
    <w:p>
      <w:pPr>
        <w:pStyle w:val="952"/>
        <w:ind w:firstLine="0"/>
        <w:jc w:val="center"/>
        <w:spacing w:line="360" w:lineRule="auto"/>
        <w:rPr>
          <w:rFonts w:hint="eastAsia"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r>
      <w:r/>
    </w:p>
    <w:p>
      <w:pPr>
        <w:pStyle w:val="952"/>
        <w:ind w:firstLine="0"/>
        <w:jc w:val="center"/>
        <w:spacing w:line="360" w:lineRule="auto"/>
        <w:rPr>
          <w:rFonts w:ascii="宋体" w:hAnsi="宋体" w:eastAsia="宋体" w:cs="宋体"/>
          <w:b/>
          <w:color w:val="000000" w:themeColor="text1"/>
          <w:szCs w:val="24"/>
          <w:highlight w:val="none"/>
          <w:lang w:val="zh-CN"/>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t xml:space="preserve">第三章  </w:t>
      </w:r>
      <w:r>
        <w:rPr>
          <w:rFonts w:hint="eastAsia" w:ascii="宋体" w:hAnsi="宋体" w:eastAsia="宋体" w:cs="宋体"/>
          <w:b/>
          <w:color w:val="000000" w:themeColor="text1"/>
          <w:szCs w:val="24"/>
          <w:highlight w:val="none"/>
          <w:lang w:val="zh-CN"/>
          <w14:textFill>
            <w14:solidFill>
              <w14:schemeClr w14:val="tx1"/>
            </w14:solidFill>
          </w14:textFill>
        </w:rPr>
        <w:t xml:space="preserve">响应文件格式</w:t>
      </w:r>
      <w:r/>
    </w:p>
    <w:p>
      <w:pPr>
        <w:pStyle w:val="952"/>
        <w:ind w:firstLine="0"/>
        <w:spacing w:line="360" w:lineRule="auto"/>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1、磋商响应函</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3"/>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苏州正杰招投标咨询服务有限公司：</w:t>
      </w:r>
      <w:r/>
    </w:p>
    <w:p>
      <w:pPr>
        <w:pStyle w:val="963"/>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    我们收到贵公司</w:t>
      </w:r>
      <w:r>
        <w:rPr>
          <w:rFonts w:hint="eastAsia" w:hAnsi="宋体" w:eastAsia="宋体" w:cs="宋体"/>
          <w:color w:val="000000" w:themeColor="text1"/>
          <w:sz w:val="24"/>
          <w:szCs w:val="24"/>
          <w:highlight w:val="none"/>
          <w:u w:val="single"/>
          <w14:textFill>
            <w14:solidFill>
              <w14:schemeClr w14:val="tx1"/>
            </w14:solidFill>
          </w14:textFill>
        </w:rPr>
        <w:t xml:space="preserve">      </w:t>
      </w:r>
      <w:r>
        <w:rPr>
          <w:rFonts w:hint="eastAsia" w:hAnsi="宋体" w:eastAsia="宋体" w:cs="宋体"/>
          <w:color w:val="000000" w:themeColor="text1"/>
          <w:sz w:val="24"/>
          <w:szCs w:val="24"/>
          <w:highlight w:val="none"/>
          <w14:textFill>
            <w14:solidFill>
              <w14:schemeClr w14:val="tx1"/>
            </w14:solidFill>
          </w14:textFill>
        </w:rPr>
        <w:t xml:space="preserve">号采购文件，经仔细阅读和研究，我们决定参加采购活动。</w:t>
      </w:r>
      <w:r/>
    </w:p>
    <w:p>
      <w:pPr>
        <w:pStyle w:val="963"/>
        <w:spacing w:line="360" w:lineRule="auto"/>
        <w:rPr>
          <w:rFonts w:ascii="Times New Roman"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    1、我们愿意按照采购文件的一切要求，提供完成该项目的全部内容，我们的报价包括</w:t>
      </w:r>
      <w:r>
        <w:rPr>
          <w:rFonts w:hint="eastAsia" w:hAnsi="宋体" w:eastAsia="宋体" w:cs="宋体"/>
          <w:color w:val="000000" w:themeColor="text1"/>
          <w:sz w:val="24"/>
          <w:szCs w:val="24"/>
          <w:highlight w:val="none"/>
          <w:lang w:val="zh-CN"/>
          <w14:textFill>
            <w14:solidFill>
              <w14:schemeClr w14:val="tx1"/>
            </w14:solidFill>
          </w14:textFill>
        </w:rPr>
        <w:t xml:space="preserve">完成所有采购内容以及本项目所需的劳务支出、保险、配套费用、税费及服务相关等所发生的全部费用以及企业利润、税金和政策性文件规定及合同包含的所有风险、责任等各项应有费用</w:t>
      </w:r>
      <w:r>
        <w:rPr>
          <w:rFonts w:hint="eastAsia" w:hAnsi="宋体" w:eastAsia="宋体" w:cs="宋体"/>
          <w:color w:val="000000" w:themeColor="text1"/>
          <w:sz w:val="24"/>
          <w:szCs w:val="24"/>
          <w:highlight w:val="none"/>
          <w14:textFill>
            <w14:solidFill>
              <w14:schemeClr w14:val="tx1"/>
            </w14:solidFill>
          </w14:textFill>
        </w:rPr>
        <w:t xml:space="preserve">。</w:t>
      </w:r>
      <w:r/>
    </w:p>
    <w:p>
      <w:pPr>
        <w:pStyle w:val="963"/>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    2、如果我们的响应文件被接受，我们将严格履行采购文件中规定的每一项要求，按期、按质、按量履行合同的义务。</w:t>
      </w:r>
      <w:r/>
    </w:p>
    <w:p>
      <w:pPr>
        <w:pStyle w:val="963"/>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    3、我们同意按采购文件规定，响应文件有效期限为自</w:t>
      </w:r>
      <w:r>
        <w:rPr>
          <w:rFonts w:hint="eastAsia" w:hAnsi="宋体" w:eastAsia="宋体" w:cs="宋体"/>
          <w:bCs/>
          <w:color w:val="000000" w:themeColor="text1"/>
          <w:sz w:val="24"/>
          <w:szCs w:val="24"/>
          <w:highlight w:val="none"/>
          <w:lang w:val="zh-CN"/>
          <w14:textFill>
            <w14:solidFill>
              <w14:schemeClr w14:val="tx1"/>
            </w14:solidFill>
          </w14:textFill>
        </w:rPr>
        <w:t xml:space="preserve">响应文件提交截止之日</w:t>
      </w:r>
      <w:r>
        <w:rPr>
          <w:rFonts w:hint="eastAsia" w:hAnsi="宋体" w:eastAsia="宋体" w:cs="宋体"/>
          <w:color w:val="000000" w:themeColor="text1"/>
          <w:sz w:val="24"/>
          <w:szCs w:val="24"/>
          <w:highlight w:val="none"/>
          <w14:textFill>
            <w14:solidFill>
              <w14:schemeClr w14:val="tx1"/>
            </w14:solidFill>
          </w14:textFill>
        </w:rPr>
        <w:t xml:space="preserve">起</w:t>
      </w:r>
      <w:r>
        <w:rPr>
          <w:rFonts w:hAnsi="宋体" w:eastAsia="宋体" w:cs="宋体"/>
          <w:color w:val="000000" w:themeColor="text1"/>
          <w:sz w:val="24"/>
          <w:szCs w:val="24"/>
          <w:highlight w:val="none"/>
          <w:u w:val="single"/>
          <w14:textFill>
            <w14:solidFill>
              <w14:schemeClr w14:val="tx1"/>
            </w14:solidFill>
          </w14:textFill>
        </w:rPr>
        <w:t xml:space="preserve"> </w:t>
      </w:r>
      <w:r>
        <w:rPr>
          <w:rFonts w:hint="eastAsia" w:hAnsi="宋体" w:eastAsia="宋体" w:cs="宋体"/>
          <w:color w:val="000000" w:themeColor="text1"/>
          <w:sz w:val="24"/>
          <w:szCs w:val="24"/>
          <w:highlight w:val="none"/>
          <w:u w:val="single"/>
          <w14:textFill>
            <w14:solidFill>
              <w14:schemeClr w14:val="tx1"/>
            </w14:solidFill>
          </w14:textFill>
        </w:rPr>
        <w:t xml:space="preserve">  </w:t>
      </w:r>
      <w:r>
        <w:rPr>
          <w:rFonts w:hAnsi="宋体" w:eastAsia="宋体" w:cs="宋体"/>
          <w:color w:val="000000" w:themeColor="text1"/>
          <w:sz w:val="24"/>
          <w:szCs w:val="24"/>
          <w:highlight w:val="none"/>
          <w:u w:val="single"/>
          <w14:textFill>
            <w14:solidFill>
              <w14:schemeClr w14:val="tx1"/>
            </w14:solidFill>
          </w14:textFill>
        </w:rPr>
        <w:t xml:space="preserve"> </w:t>
      </w:r>
      <w:r>
        <w:rPr>
          <w:rFonts w:hint="eastAsia" w:hAnsi="宋体" w:eastAsia="宋体" w:cs="宋体"/>
          <w:color w:val="000000" w:themeColor="text1"/>
          <w:sz w:val="24"/>
          <w:szCs w:val="24"/>
          <w:highlight w:val="none"/>
          <w14:textFill>
            <w14:solidFill>
              <w14:schemeClr w14:val="tx1"/>
            </w14:solidFill>
          </w14:textFill>
        </w:rPr>
        <w:t xml:space="preserve">天。如果我们在开标后规定的有效期内撤回，我们愿承担一切责任。</w:t>
      </w:r>
      <w:r/>
    </w:p>
    <w:p>
      <w:pPr>
        <w:pStyle w:val="963"/>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    4、我们愿意提供采购人在采购文件中要求的所有资料，也同意向贵方提供贵方可能另外要求的与其有关的任何证据或资料，并保证所提供的资料全部是真实的、有效的，若有虚假，我们愿承担一切责任。</w:t>
      </w:r>
      <w:r/>
    </w:p>
    <w:p>
      <w:pPr>
        <w:pStyle w:val="963"/>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    5、我们认为你们有权决定供应商，还认为你们有权接受或拒绝所有的供应商。</w:t>
      </w:r>
      <w:r/>
    </w:p>
    <w:p>
      <w:pPr>
        <w:pStyle w:val="963"/>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    6、我们愿意遵守采购文件中所列的收费标准。</w:t>
      </w:r>
      <w:r/>
    </w:p>
    <w:p>
      <w:pPr>
        <w:pStyle w:val="963"/>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    7、我们承诺本响应文件在磋商开始后的全过程中保持有效，不作任何更改和变动。我们同意</w:t>
      </w:r>
      <w:r>
        <w:rPr>
          <w:rFonts w:hint="eastAsia" w:hAnsi="宋体" w:eastAsia="宋体" w:cs="宋体"/>
          <w:color w:val="000000" w:themeColor="text1"/>
          <w:sz w:val="24"/>
          <w:szCs w:val="24"/>
          <w:highlight w:val="none"/>
          <w:lang w:val="zh-CN"/>
          <w14:textFill>
            <w14:solidFill>
              <w14:schemeClr w14:val="tx1"/>
            </w14:solidFill>
          </w14:textFill>
        </w:rPr>
        <w:t xml:space="preserve">成交</w:t>
      </w:r>
      <w:r>
        <w:rPr>
          <w:rFonts w:hint="eastAsia" w:hAnsi="宋体" w:eastAsia="宋体" w:cs="宋体"/>
          <w:color w:val="000000" w:themeColor="text1"/>
          <w:sz w:val="24"/>
          <w:szCs w:val="24"/>
          <w:highlight w:val="none"/>
          <w14:textFill>
            <w14:solidFill>
              <w14:schemeClr w14:val="tx1"/>
            </w14:solidFill>
          </w14:textFill>
        </w:rPr>
        <w:t xml:space="preserve">后若不履行响应文件的内容要求和各项承诺及义务的即被视为违约，我们愿承担一切责任。</w:t>
      </w:r>
      <w:r/>
    </w:p>
    <w:p>
      <w:pPr>
        <w:pStyle w:val="963"/>
        <w:ind w:firstLine="480"/>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8、如果我们成交，我们愿意在签订合同时按采购文件的规定支付成交服务费。</w:t>
      </w:r>
      <w:r/>
    </w:p>
    <w:p>
      <w:pPr>
        <w:pStyle w:val="963"/>
        <w:ind w:firstLine="480"/>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9、本函填写的电子邮箱为我方此次采购活动中的授权邮箱，该邮箱发至采购人或代理机构的函件无论是否签字或盖章，均视为我方的意思表示，我方均予以承认并承担相应后果。</w:t>
      </w:r>
      <w:r/>
    </w:p>
    <w:p>
      <w:pPr>
        <w:pStyle w:val="963"/>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    10、与本次磋商有关的通讯地址：</w:t>
      </w:r>
      <w:r/>
    </w:p>
    <w:p>
      <w:pPr>
        <w:pStyle w:val="963"/>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    单位名称：                                 联系人员：</w:t>
      </w:r>
      <w:r/>
    </w:p>
    <w:p>
      <w:pPr>
        <w:pStyle w:val="963"/>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    单位地址：                                 邮政编码：</w:t>
      </w:r>
      <w:r/>
    </w:p>
    <w:p>
      <w:pPr>
        <w:pStyle w:val="963"/>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    联系电话：                                 传真号码：</w:t>
      </w:r>
      <w:r/>
    </w:p>
    <w:p>
      <w:pPr>
        <w:pStyle w:val="952"/>
        <w:ind w:right="420" w:firstLine="0"/>
        <w:spacing w:line="360" w:lineRule="auto"/>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    供应商：（单位盖章）</w:t>
      </w:r>
      <w:r/>
    </w:p>
    <w:p>
      <w:pPr>
        <w:pStyle w:val="952"/>
        <w:ind w:right="420" w:firstLine="0"/>
        <w:spacing w:line="360" w:lineRule="auto"/>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    法定代表人或代理人：（签字或盖章）</w:t>
      </w:r>
      <w:r/>
    </w:p>
    <w:p>
      <w:pPr>
        <w:pStyle w:val="952"/>
        <w:ind w:right="420" w:firstLine="480"/>
        <w:spacing w:line="360" w:lineRule="auto"/>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日期：     年     月     日</w:t>
      </w:r>
      <w:r/>
    </w:p>
    <w:p>
      <w:pPr>
        <w:spacing w:line="360" w:lineRule="auto"/>
        <w:rPr>
          <w:rFonts w:ascii="宋体" w:hAnsi="宋体" w:eastAsia="宋体" w:cs="宋体"/>
          <w:b/>
          <w:color w:val="000000" w:themeColor="text1"/>
          <w:sz w:val="24"/>
          <w:szCs w:val="24"/>
          <w:highlight w:val="none"/>
          <w:lang w:val="zh-CN"/>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br w:type="page" w:clear="all"/>
      </w:r>
      <w:r>
        <w:rPr>
          <w:rFonts w:hint="eastAsia" w:ascii="宋体" w:hAnsi="宋体" w:eastAsia="宋体" w:cs="宋体"/>
          <w:b/>
          <w:color w:val="000000" w:themeColor="text1"/>
          <w:sz w:val="24"/>
          <w:szCs w:val="24"/>
          <w:highlight w:val="none"/>
          <w:lang w:val="zh-CN"/>
          <w14:textFill>
            <w14:solidFill>
              <w14:schemeClr w14:val="tx1"/>
            </w14:solidFill>
          </w14:textFill>
        </w:rPr>
        <w:t xml:space="preserve">2、法定代表人授权委托书</w:t>
      </w:r>
      <w:r/>
    </w:p>
    <w:p>
      <w:pPr>
        <w:pStyle w:val="952"/>
        <w:ind w:firstLine="0"/>
        <w:jc w:val="center"/>
        <w:spacing w:line="360" w:lineRule="auto"/>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pStyle w:val="964"/>
        <w:ind w:firstLine="484"/>
        <w:spacing w:line="360" w:lineRule="auto"/>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t xml:space="preserve">本授权委托书声明：我</w:t>
      </w:r>
      <w:r>
        <w:rPr>
          <w:rFonts w:hAnsi="宋体" w:eastAsia="宋体" w:cs="宋体"/>
          <w:color w:val="000000" w:themeColor="text1"/>
          <w:sz w:val="24"/>
          <w:szCs w:val="24"/>
          <w:highlight w:val="none"/>
          <w:u w:val="single"/>
          <w14:textFill>
            <w14:solidFill>
              <w14:schemeClr w14:val="tx1"/>
            </w14:solidFill>
          </w14:textFill>
        </w:rPr>
        <w:t xml:space="preserve">     </w:t>
      </w:r>
      <w:r>
        <w:rPr>
          <w:rFonts w:hAnsi="宋体" w:eastAsia="宋体" w:cs="宋体"/>
          <w:color w:val="000000" w:themeColor="text1"/>
          <w:sz w:val="24"/>
          <w:szCs w:val="24"/>
          <w:highlight w:val="none"/>
          <w14:textFill>
            <w14:solidFill>
              <w14:schemeClr w14:val="tx1"/>
            </w14:solidFill>
          </w14:textFill>
        </w:rPr>
        <w:t xml:space="preserve">（姓名）系</w:t>
      </w:r>
      <w:r>
        <w:rPr>
          <w:rFonts w:hAnsi="宋体" w:eastAsia="宋体" w:cs="宋体"/>
          <w:color w:val="000000" w:themeColor="text1"/>
          <w:sz w:val="24"/>
          <w:szCs w:val="24"/>
          <w:highlight w:val="none"/>
          <w:u w:val="single"/>
          <w14:textFill>
            <w14:solidFill>
              <w14:schemeClr w14:val="tx1"/>
            </w14:solidFill>
          </w14:textFill>
        </w:rPr>
        <w:t xml:space="preserve">     </w:t>
      </w:r>
      <w:r>
        <w:rPr>
          <w:rFonts w:hAnsi="宋体" w:eastAsia="宋体" w:cs="宋体"/>
          <w:color w:val="000000" w:themeColor="text1"/>
          <w:sz w:val="24"/>
          <w:szCs w:val="24"/>
          <w:highlight w:val="none"/>
          <w14:textFill>
            <w14:solidFill>
              <w14:schemeClr w14:val="tx1"/>
            </w14:solidFill>
          </w14:textFill>
        </w:rPr>
        <w:t xml:space="preserve">（</w:t>
      </w:r>
      <w:r>
        <w:rPr>
          <w:rFonts w:hint="eastAsia" w:hAnsi="宋体" w:eastAsia="宋体" w:cs="宋体"/>
          <w:color w:val="000000" w:themeColor="text1"/>
          <w:sz w:val="24"/>
          <w:szCs w:val="24"/>
          <w:highlight w:val="none"/>
          <w14:textFill>
            <w14:solidFill>
              <w14:schemeClr w14:val="tx1"/>
            </w14:solidFill>
          </w14:textFill>
        </w:rPr>
        <w:t xml:space="preserve">供应商</w:t>
      </w:r>
      <w:r>
        <w:rPr>
          <w:rFonts w:hAnsi="宋体" w:eastAsia="宋体" w:cs="宋体"/>
          <w:color w:val="000000" w:themeColor="text1"/>
          <w:sz w:val="24"/>
          <w:szCs w:val="24"/>
          <w:highlight w:val="none"/>
          <w14:textFill>
            <w14:solidFill>
              <w14:schemeClr w14:val="tx1"/>
            </w14:solidFill>
          </w14:textFill>
        </w:rPr>
        <w:t xml:space="preserve">名称）的法定代表人，现授权委托</w:t>
      </w:r>
      <w:r>
        <w:rPr>
          <w:rFonts w:hAnsi="宋体" w:eastAsia="宋体" w:cs="宋体"/>
          <w:color w:val="000000" w:themeColor="text1"/>
          <w:sz w:val="24"/>
          <w:szCs w:val="24"/>
          <w:highlight w:val="none"/>
          <w:u w:val="single"/>
          <w14:textFill>
            <w14:solidFill>
              <w14:schemeClr w14:val="tx1"/>
            </w14:solidFill>
          </w14:textFill>
        </w:rPr>
        <w:t xml:space="preserve">     </w:t>
      </w:r>
      <w:r>
        <w:rPr>
          <w:rFonts w:hAnsi="宋体" w:eastAsia="宋体" w:cs="宋体"/>
          <w:color w:val="000000" w:themeColor="text1"/>
          <w:sz w:val="24"/>
          <w:szCs w:val="24"/>
          <w:highlight w:val="none"/>
          <w14:textFill>
            <w14:solidFill>
              <w14:schemeClr w14:val="tx1"/>
            </w14:solidFill>
          </w14:textFill>
        </w:rPr>
        <w:t xml:space="preserve">（姓名为我公司代理人，以本公司的名义参加</w:t>
      </w:r>
      <w:r>
        <w:rPr>
          <w:rFonts w:hAnsi="宋体" w:eastAsia="宋体" w:cs="宋体"/>
          <w:color w:val="000000" w:themeColor="text1"/>
          <w:sz w:val="24"/>
          <w:szCs w:val="24"/>
          <w:highlight w:val="none"/>
          <w:u w:val="single"/>
          <w14:textFill>
            <w14:solidFill>
              <w14:schemeClr w14:val="tx1"/>
            </w14:solidFill>
          </w14:textFill>
        </w:rPr>
        <w:t xml:space="preserve">     </w:t>
      </w:r>
      <w:r>
        <w:rPr>
          <w:rFonts w:hAnsi="宋体" w:eastAsia="宋体" w:cs="宋体"/>
          <w:color w:val="000000" w:themeColor="text1"/>
          <w:sz w:val="24"/>
          <w:szCs w:val="24"/>
          <w:highlight w:val="none"/>
          <w14:textFill>
            <w14:solidFill>
              <w14:schemeClr w14:val="tx1"/>
            </w14:solidFill>
          </w14:textFill>
        </w:rPr>
        <w:t xml:space="preserve">（采购人名称）组织实施的编号为</w:t>
      </w:r>
      <w:r>
        <w:rPr>
          <w:rFonts w:hAnsi="宋体" w:eastAsia="宋体" w:cs="宋体"/>
          <w:color w:val="000000" w:themeColor="text1"/>
          <w:sz w:val="24"/>
          <w:szCs w:val="24"/>
          <w:highlight w:val="none"/>
          <w:u w:val="single"/>
          <w14:textFill>
            <w14:solidFill>
              <w14:schemeClr w14:val="tx1"/>
            </w14:solidFill>
          </w14:textFill>
        </w:rPr>
        <w:t xml:space="preserve">     </w:t>
      </w:r>
      <w:r>
        <w:rPr>
          <w:rFonts w:hAnsi="宋体" w:eastAsia="宋体" w:cs="宋体"/>
          <w:color w:val="000000" w:themeColor="text1"/>
          <w:sz w:val="24"/>
          <w:szCs w:val="24"/>
          <w:highlight w:val="none"/>
          <w14:textFill>
            <w14:solidFill>
              <w14:schemeClr w14:val="tx1"/>
            </w14:solidFill>
          </w14:textFill>
        </w:rPr>
        <w:t xml:space="preserve">号的采购活动。代理人在投标、开标、评标、合同订立和履行过程中所签署的一切文件和处理与这有关的一切事务，我均予以承认。</w:t>
      </w:r>
      <w:r/>
    </w:p>
    <w:p>
      <w:pPr>
        <w:pStyle w:val="964"/>
        <w:ind w:firstLine="484"/>
        <w:spacing w:line="360" w:lineRule="auto"/>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t xml:space="preserve">代理人在授权委托书有效期内签署的所有文件不因授权委托的撤销而失效，除非有撤销授权委托的书面通知，本授权委托书自投标开始至合同履行完毕止。</w:t>
      </w:r>
      <w:r/>
    </w:p>
    <w:p>
      <w:pPr>
        <w:pStyle w:val="964"/>
        <w:ind w:firstLine="484"/>
        <w:spacing w:line="360" w:lineRule="auto"/>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t xml:space="preserve">代理人无转委托权。特此委托。</w:t>
      </w:r>
      <w:r/>
    </w:p>
    <w:p>
      <w:pPr>
        <w:pStyle w:val="964"/>
        <w:ind w:firstLine="484"/>
        <w:spacing w:line="360" w:lineRule="auto"/>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t xml:space="preserve">   </w:t>
      </w:r>
      <w:r/>
    </w:p>
    <w:p>
      <w:pPr>
        <w:pStyle w:val="960"/>
        <w:ind w:firstLine="480"/>
        <w:jc w:val="both"/>
        <w:spacing w:line="360" w:lineRule="auto"/>
        <w:rPr>
          <w:rFonts w:hint="default"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t xml:space="preserve">投标人（单位盖章）：</w:t>
      </w:r>
      <w:r/>
    </w:p>
    <w:p>
      <w:pPr>
        <w:pStyle w:val="960"/>
        <w:ind w:firstLine="480"/>
        <w:jc w:val="both"/>
        <w:spacing w:line="360" w:lineRule="auto"/>
        <w:rPr>
          <w:rFonts w:hint="default"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t xml:space="preserve">法定代表人（签字或盖章）：</w:t>
      </w:r>
      <w:r/>
    </w:p>
    <w:p>
      <w:pPr>
        <w:pStyle w:val="960"/>
        <w:ind w:firstLine="480"/>
        <w:jc w:val="both"/>
        <w:spacing w:line="360" w:lineRule="auto"/>
        <w:rPr>
          <w:rFonts w:hint="default"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t xml:space="preserve">代理人（签字或盖章）：</w:t>
      </w:r>
      <w:r/>
    </w:p>
    <w:p>
      <w:pPr>
        <w:pStyle w:val="960"/>
        <w:ind w:firstLine="480"/>
        <w:jc w:val="both"/>
        <w:spacing w:line="360" w:lineRule="auto"/>
        <w:rPr>
          <w:rFonts w:hint="default"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t xml:space="preserve">日 期： </w:t>
      </w:r>
      <w:r/>
    </w:p>
    <w:p>
      <w:pPr>
        <w:ind w:firstLine="525"/>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952"/>
        <w:ind w:firstLine="482"/>
        <w:spacing w:line="360" w:lineRule="auto"/>
        <w:rPr>
          <w:rFonts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t xml:space="preserve">注：本授权委托书仅限于法人性质投标人投标，投标文件中必须提供法定代表人和代理人身份证复印件。非法人性质投标人投标，授权委托书格式自拟，但必须同时提供受托双方身份证复印件。</w:t>
      </w:r>
      <w:r/>
    </w:p>
    <w:p>
      <w:pPr>
        <w:pStyle w:val="952"/>
        <w:ind w:right="420" w:firstLine="0"/>
        <w:spacing w:line="360" w:lineRule="auto"/>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  </w:t>
      </w:r>
      <w:r/>
    </w:p>
    <w:p>
      <w:pPr>
        <w:pStyle w:val="952"/>
        <w:ind w:right="420" w:firstLine="0"/>
        <w:spacing w:line="360" w:lineRule="auto"/>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  </w:t>
      </w:r>
      <w:r/>
    </w:p>
    <w:p>
      <w:pPr>
        <w:pStyle w:val="952"/>
        <w:ind w:right="420" w:firstLine="0"/>
        <w:spacing w:line="360" w:lineRule="auto"/>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pStyle w:val="952"/>
        <w:ind w:right="420" w:firstLine="0"/>
        <w:spacing w:line="360" w:lineRule="auto"/>
        <w:rPr>
          <w:rFonts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br w:type="page" w:clear="all"/>
      </w:r>
      <w:r>
        <w:rPr>
          <w:rFonts w:hint="eastAsia" w:ascii="宋体" w:hAnsi="宋体" w:eastAsia="宋体" w:cs="宋体"/>
          <w:b/>
          <w:bCs/>
          <w:color w:val="000000" w:themeColor="text1"/>
          <w:szCs w:val="24"/>
          <w:highlight w:val="none"/>
          <w14:textFill>
            <w14:solidFill>
              <w14:schemeClr w14:val="tx1"/>
            </w14:solidFill>
          </w14:textFill>
        </w:rPr>
        <w:t xml:space="preserve">3、关于资格文件的声明函</w:t>
      </w:r>
      <w:r/>
    </w:p>
    <w:p>
      <w:pPr>
        <w:pStyle w:val="952"/>
        <w:ind w:firstLine="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52"/>
        <w:ind w:firstLine="0"/>
        <w:jc w:val="both"/>
        <w:spacing w:line="360" w:lineRule="auto"/>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苏州正杰招投标咨询服务有限公司：</w:t>
      </w:r>
      <w:r/>
    </w:p>
    <w:p>
      <w:pPr>
        <w:pStyle w:val="952"/>
        <w:ind w:firstLine="480"/>
        <w:spacing w:line="360" w:lineRule="auto"/>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本公司愿就由贵公司组织实施的编号为_________号的采购活动进行响应。本公司所提交的商务、技术及报价文件中所有关于资格的文件、证明和陈述均是真实的、准确的和有效的。若与事实情况不符，本公司愿意承担由此而产生的一切后果。</w:t>
      </w:r>
      <w:r/>
    </w:p>
    <w:p>
      <w:pPr>
        <w:pStyle w:val="952"/>
        <w:ind w:right="420" w:firstLine="480"/>
        <w:spacing w:line="360" w:lineRule="auto"/>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供应商：（单位盖章）</w:t>
      </w:r>
      <w:r/>
    </w:p>
    <w:p>
      <w:pPr>
        <w:pStyle w:val="952"/>
        <w:ind w:right="420" w:firstLine="480"/>
        <w:spacing w:line="360" w:lineRule="auto"/>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法定代表人或代理人：（签字或盖章）</w:t>
      </w:r>
      <w:r/>
    </w:p>
    <w:p>
      <w:pPr>
        <w:pStyle w:val="952"/>
        <w:ind w:right="420" w:firstLine="480"/>
        <w:spacing w:line="360" w:lineRule="auto"/>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日期：     年     月     日</w:t>
      </w:r>
      <w:r/>
    </w:p>
    <w:p>
      <w:pPr>
        <w:pStyle w:val="952"/>
        <w:ind w:right="420" w:firstLine="0"/>
        <w:spacing w:line="360" w:lineRule="auto"/>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pStyle w:val="965"/>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65"/>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65"/>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65"/>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65"/>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65"/>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65"/>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65"/>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65"/>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65"/>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65"/>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65"/>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65"/>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65"/>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65"/>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65"/>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65"/>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65"/>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52"/>
        <w:ind w:right="420" w:firstLine="0"/>
        <w:spacing w:line="360" w:lineRule="auto"/>
        <w:rPr>
          <w:rFonts w:hint="eastAsia" w:ascii="宋体" w:hAnsi="宋体" w:eastAsia="宋体" w:cs="宋体"/>
          <w:b/>
          <w:bCs/>
          <w:color w:val="000000" w:themeColor="text1"/>
          <w:szCs w:val="24"/>
          <w:highlight w:val="none"/>
          <w:lang w:eastAsia="zh-CN"/>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4、开标一览表</w:t>
      </w:r>
      <w:r/>
    </w:p>
    <w:p>
      <w:pPr>
        <w:jc w:val="center"/>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开标一览表</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第</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 1 </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标段</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tbl>
      <w:tblPr>
        <w:tblStyle w:val="950"/>
        <w:tblW w:w="4952" w:type="pct"/>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56"/>
        <w:gridCol w:w="7103"/>
      </w:tblGrid>
      <w:tr>
        <w:trPr>
          <w:cantSplit/>
          <w:trHeight w:val="832"/>
        </w:trPr>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7102"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标段一：根据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单项最高限价报优惠率（含医院自主定价项）</w:t>
            </w:r>
            <w:r/>
          </w:p>
        </w:tc>
      </w:tr>
      <w:tr>
        <w:trPr>
          <w:cantSplit/>
          <w:trHeight w:val="960"/>
        </w:trPr>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spacing w:line="360" w:lineRule="auto"/>
              <w:rPr>
                <w:rFonts w:ascii="宋体" w:hAnsi="宋体" w:eastAsia="宋体" w:cs="宋体"/>
                <w:color w:val="000000" w:themeColor="text1"/>
                <w:sz w:val="24"/>
                <w:szCs w:val="24"/>
                <w:highlight w:val="none"/>
                <w14:textFill>
                  <w14:solidFill>
                    <w14:schemeClr w14:val="tx1"/>
                  </w14:solidFill>
                </w14:textFill>
              </w:rPr>
            </w:pPr>
            <w:r/>
            <w:bookmarkStart w:id="6" w:name="XMMC"/>
            <w:r/>
            <w:bookmarkEnd w:id="6"/>
            <w:r/>
            <w:r/>
          </w:p>
        </w:tc>
        <w:tc>
          <w:tcPr>
            <w:tcBorders>
              <w:top w:val="single" w:color="auto" w:sz="4" w:space="0"/>
              <w:left w:val="single" w:color="auto" w:sz="4" w:space="0"/>
              <w:bottom w:val="single" w:color="auto" w:sz="4" w:space="0"/>
              <w:right w:val="single" w:color="auto" w:sz="4" w:space="0"/>
            </w:tcBorders>
            <w:tcW w:w="7102" w:type="dxa"/>
            <w:vAlign w:val="center"/>
            <w:textDirection w:val="lrTb"/>
            <w:noWrap w:val="false"/>
          </w:tcPr>
          <w:p>
            <w:pPr>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p>
        </w:tc>
      </w:tr>
    </w:tbl>
    <w:p>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955"/>
        <w:jc w:val="left"/>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供应商（单位盖章）：</w:t>
      </w:r>
      <w:r/>
    </w:p>
    <w:p>
      <w:pPr>
        <w:pStyle w:val="955"/>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法定代表人或代理人（签字或盖章）：</w:t>
      </w:r>
      <w:r/>
    </w:p>
    <w:p>
      <w:pPr>
        <w:pStyle w:val="955"/>
        <w:spacing w:line="360" w:lineRule="auto"/>
        <w:rPr>
          <w:rFonts w:hAnsi="宋体" w:eastAsia="宋体" w:cs="宋体"/>
          <w:color w:val="000000" w:themeColor="text1"/>
          <w:sz w:val="24"/>
          <w:szCs w:val="24"/>
          <w:highlight w:val="none"/>
          <w:lang w:val="zh-CN"/>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日期：     年     月     日</w:t>
      </w:r>
      <w:r/>
    </w:p>
    <w:p>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97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注：</w:t>
      </w:r>
      <w:r>
        <w:rPr>
          <w:rFonts w:hint="eastAsia" w:ascii="宋体" w:hAnsi="宋体" w:eastAsia="宋体" w:cs="宋体"/>
          <w:color w:val="000000" w:themeColor="text1"/>
          <w:sz w:val="24"/>
          <w:szCs w:val="24"/>
          <w:highlight w:val="none"/>
          <w14:textFill>
            <w14:solidFill>
              <w14:schemeClr w14:val="tx1"/>
            </w14:solidFill>
          </w14:textFill>
        </w:rPr>
        <w:t xml:space="preserve">1、本次响应报价须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单项最高限价</w:t>
      </w:r>
      <w:r>
        <w:rPr>
          <w:rFonts w:hint="eastAsia" w:ascii="宋体" w:hAnsi="宋体" w:eastAsia="宋体" w:cs="宋体"/>
          <w:color w:val="000000" w:themeColor="text1"/>
          <w:sz w:val="24"/>
          <w:szCs w:val="24"/>
          <w:highlight w:val="none"/>
          <w14:textFill>
            <w14:solidFill>
              <w14:schemeClr w14:val="tx1"/>
            </w14:solidFill>
          </w14:textFill>
        </w:rPr>
        <w:t xml:space="preserve">基础上统一报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优惠</w:t>
      </w:r>
      <w:r>
        <w:rPr>
          <w:rFonts w:hint="eastAsia" w:ascii="宋体" w:hAnsi="宋体" w:eastAsia="宋体" w:cs="宋体"/>
          <w:color w:val="000000" w:themeColor="text1"/>
          <w:sz w:val="24"/>
          <w:szCs w:val="24"/>
          <w:highlight w:val="none"/>
          <w14:textFill>
            <w14:solidFill>
              <w14:schemeClr w14:val="tx1"/>
            </w14:solidFill>
          </w14:textFill>
        </w:rPr>
        <w:t xml:space="preserve">率（例如：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优惠</w:t>
      </w:r>
      <w:r>
        <w:rPr>
          <w:rFonts w:hint="eastAsia" w:ascii="宋体" w:hAnsi="宋体" w:eastAsia="宋体" w:cs="宋体"/>
          <w:color w:val="000000" w:themeColor="text1"/>
          <w:sz w:val="24"/>
          <w:szCs w:val="24"/>
          <w:highlight w:val="none"/>
          <w14:textFill>
            <w14:solidFill>
              <w14:schemeClr w14:val="tx1"/>
            </w14:solidFill>
          </w14:textFill>
        </w:rPr>
        <w:t xml:space="preserve">率为10%，则表示结算单价为：单</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项</w:t>
      </w:r>
      <w:r>
        <w:rPr>
          <w:rFonts w:hint="eastAsia" w:ascii="宋体" w:hAnsi="宋体" w:eastAsia="宋体" w:cs="宋体"/>
          <w:color w:val="000000" w:themeColor="text1"/>
          <w:sz w:val="24"/>
          <w:szCs w:val="24"/>
          <w:highlight w:val="none"/>
          <w14:textFill>
            <w14:solidFill>
              <w14:schemeClr w14:val="tx1"/>
            </w14:solidFill>
          </w14:textFill>
        </w:rPr>
        <w:t xml:space="preserve">最高限价×（1-10%）），</w:t>
      </w:r>
      <w:r>
        <w:rPr>
          <w:rFonts w:hint="eastAsia" w:hAnsi="宋体" w:eastAsia="宋体" w:cs="宋体"/>
          <w:color w:val="000000" w:themeColor="text1"/>
          <w:sz w:val="24"/>
          <w:szCs w:val="24"/>
          <w:highlight w:val="none"/>
          <w14:textFill>
            <w14:solidFill>
              <w14:schemeClr w14:val="tx1"/>
            </w14:solidFill>
          </w14:textFill>
        </w:rPr>
        <w:t xml:space="preserve">优惠率</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报价</w:t>
      </w:r>
      <w:r>
        <w:rPr>
          <w:rFonts w:hint="eastAsia" w:ascii="宋体" w:hAnsi="宋体" w:eastAsia="宋体" w:cs="宋体"/>
          <w:color w:val="000000" w:themeColor="text1"/>
          <w:sz w:val="24"/>
          <w:szCs w:val="24"/>
          <w:highlight w:val="none"/>
          <w14:textFill>
            <w14:solidFill>
              <w14:schemeClr w14:val="tx1"/>
            </w14:solidFill>
          </w14:textFill>
        </w:rPr>
        <w:t xml:space="preserve">（四舍五入保留两位小数）</w:t>
      </w:r>
      <w:r>
        <w:rPr>
          <w:rFonts w:hint="eastAsia" w:hAnsi="宋体" w:eastAsia="宋体" w:cs="宋体"/>
          <w:color w:val="000000" w:themeColor="text1"/>
          <w:sz w:val="24"/>
          <w:szCs w:val="24"/>
          <w:highlight w:val="none"/>
          <w14:textFill>
            <w14:solidFill>
              <w14:schemeClr w14:val="tx1"/>
            </w14:solidFill>
          </w14:textFill>
        </w:rPr>
        <w:t xml:space="preserve">。</w:t>
      </w:r>
      <w:r/>
    </w:p>
    <w:p>
      <w:pPr>
        <w:pStyle w:val="966"/>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2、供应商所报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优惠</w:t>
      </w:r>
      <w:r>
        <w:rPr>
          <w:rFonts w:hint="eastAsia" w:ascii="宋体" w:hAnsi="宋体" w:eastAsia="宋体" w:cs="宋体"/>
          <w:b/>
          <w:bCs/>
          <w:color w:val="000000" w:themeColor="text1"/>
          <w:sz w:val="24"/>
          <w:szCs w:val="24"/>
          <w:highlight w:val="none"/>
          <w14:textFill>
            <w14:solidFill>
              <w14:schemeClr w14:val="tx1"/>
            </w14:solidFill>
          </w14:textFill>
        </w:rPr>
        <w:t xml:space="preserve">率高，则表示对应的响应报价越低，价格得分则越高。</w:t>
      </w:r>
      <w:r/>
    </w:p>
    <w:p>
      <w:pPr>
        <w:pStyle w:val="966"/>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3、本项目以采购人实际发生数量，按实结算，最终结算金额不超过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本项目预算</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金额或最高限价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66"/>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55"/>
        <w:ind w:firstLine="480"/>
        <w:jc w:val="left"/>
        <w:spacing w:line="360" w:lineRule="auto"/>
        <w:rPr>
          <w:rFonts w:hint="eastAsia"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供应商（单位盖章）</w:t>
      </w:r>
      <w:r>
        <w:rPr>
          <w:rFonts w:hint="eastAsia" w:hAnsi="宋体" w:eastAsia="宋体" w:cs="宋体"/>
          <w:color w:val="000000" w:themeColor="text1"/>
          <w:sz w:val="24"/>
          <w:szCs w:val="24"/>
          <w:highlight w:val="none"/>
          <w:lang w:eastAsia="zh-CN"/>
          <w14:textFill>
            <w14:solidFill>
              <w14:schemeClr w14:val="tx1"/>
            </w14:solidFill>
          </w14:textFill>
        </w:rPr>
        <w:t xml:space="preserve">：</w:t>
      </w:r>
      <w:r/>
    </w:p>
    <w:p>
      <w:pPr>
        <w:pStyle w:val="955"/>
        <w:ind w:firstLine="480"/>
        <w:spacing w:line="360" w:lineRule="auto"/>
        <w:rPr>
          <w:rFonts w:hint="eastAsia"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法定代表人或代理人（签字或盖章）</w:t>
      </w:r>
      <w:r>
        <w:rPr>
          <w:rFonts w:hint="eastAsia" w:hAnsi="宋体" w:eastAsia="宋体" w:cs="宋体"/>
          <w:color w:val="000000" w:themeColor="text1"/>
          <w:sz w:val="24"/>
          <w:szCs w:val="24"/>
          <w:highlight w:val="none"/>
          <w:lang w:eastAsia="zh-CN"/>
          <w14:textFill>
            <w14:solidFill>
              <w14:schemeClr w14:val="tx1"/>
            </w14:solidFill>
          </w14:textFill>
        </w:rPr>
        <w:t xml:space="preserve">：</w:t>
      </w:r>
      <w:r/>
    </w:p>
    <w:p>
      <w:pPr>
        <w:pStyle w:val="955"/>
        <w:ind w:firstLine="480"/>
        <w:spacing w:line="360" w:lineRule="auto"/>
        <w:rPr>
          <w:rFonts w:hint="eastAsia" w:hAnsi="宋体" w:eastAsia="宋体" w:cs="宋体"/>
          <w:color w:val="000000" w:themeColor="text1"/>
          <w:sz w:val="24"/>
          <w:szCs w:val="24"/>
          <w:highlight w:val="none"/>
          <w:lang w:val="zh-CN"/>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日期</w:t>
      </w:r>
      <w:r>
        <w:rPr>
          <w:rFonts w:hint="eastAsia" w:hAnsi="宋体" w:eastAsia="宋体" w:cs="宋体"/>
          <w:color w:val="000000" w:themeColor="text1"/>
          <w:sz w:val="24"/>
          <w:szCs w:val="24"/>
          <w:highlight w:val="none"/>
          <w:lang w:eastAsia="zh-CN"/>
          <w14:textFill>
            <w14:solidFill>
              <w14:schemeClr w14:val="tx1"/>
            </w14:solidFill>
          </w14:textFill>
        </w:rPr>
        <w:t xml:space="preserve">：</w:t>
      </w:r>
      <w:r>
        <w:rPr>
          <w:rFonts w:hint="eastAsia" w:hAnsi="宋体" w:eastAsia="宋体" w:cs="宋体"/>
          <w:color w:val="000000" w:themeColor="text1"/>
          <w:sz w:val="24"/>
          <w:szCs w:val="24"/>
          <w:highlight w:val="none"/>
          <w14:textFill>
            <w14:solidFill>
              <w14:schemeClr w14:val="tx1"/>
            </w14:solidFill>
          </w14:textFill>
        </w:rPr>
        <w:t xml:space="preserve">     年     月     日</w:t>
      </w:r>
      <w:r/>
    </w:p>
    <w:p>
      <w:pPr>
        <w:pStyle w:val="965"/>
        <w:spacing w:line="360" w:lineRule="auto"/>
        <w:rPr>
          <w:rFonts w:hAnsi="宋体" w:eastAsia="宋体" w:cs="宋体"/>
          <w:b/>
          <w:bCs/>
          <w:color w:val="000000" w:themeColor="text1"/>
          <w:sz w:val="24"/>
          <w:szCs w:val="24"/>
          <w:highlight w:val="none"/>
          <w14:textFill>
            <w14:solidFill>
              <w14:schemeClr w14:val="tx1"/>
            </w14:solidFill>
          </w14:textFill>
        </w:rPr>
      </w:pPr>
      <w:r>
        <w:rPr>
          <w:rFonts w:hAnsi="宋体" w:eastAsia="宋体" w:cs="宋体"/>
          <w:b/>
          <w:bCs/>
          <w:color w:val="000000" w:themeColor="text1"/>
          <w:sz w:val="24"/>
          <w:szCs w:val="24"/>
          <w:highlight w:val="none"/>
          <w14:textFill>
            <w14:solidFill>
              <w14:schemeClr w14:val="tx1"/>
            </w14:solidFill>
          </w14:textFill>
        </w:rPr>
      </w:r>
      <w:r/>
    </w:p>
    <w:p>
      <w:pPr>
        <w:jc w:val="center"/>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hAnsi="宋体" w:eastAsia="宋体" w:cs="宋体"/>
          <w:b/>
          <w:bCs/>
          <w:color w:val="000000" w:themeColor="text1"/>
          <w:sz w:val="24"/>
          <w:szCs w:val="24"/>
          <w:highlight w:val="none"/>
          <w14:textFill>
            <w14:solidFill>
              <w14:schemeClr w14:val="tx1"/>
            </w14:solidFill>
          </w14:textFill>
        </w:rPr>
        <w:br w:type="page" w:clear="all"/>
      </w:r>
      <w:r/>
    </w:p>
    <w:p>
      <w:pPr>
        <w:jc w:val="center"/>
        <w:spacing w:line="360" w:lineRule="auto"/>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开标一览表</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第</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 2 </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标段</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tbl>
      <w:tblPr>
        <w:tblStyle w:val="950"/>
        <w:tblW w:w="4952" w:type="pct"/>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56"/>
        <w:gridCol w:w="7103"/>
      </w:tblGrid>
      <w:tr>
        <w:trPr>
          <w:cantSplit/>
          <w:trHeight w:val="832"/>
        </w:trPr>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7102" w:type="dxa"/>
            <w:vAlign w:val="center"/>
            <w:textDirection w:val="lrTb"/>
            <w:noWrap w:val="false"/>
          </w:tcPr>
          <w:p>
            <w:pPr>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标段</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单项最高限价报优惠</w:t>
            </w:r>
            <w:r>
              <w:rPr>
                <w:rFonts w:hint="eastAsia" w:ascii="宋体" w:hAnsi="宋体" w:eastAsia="宋体" w:cs="宋体"/>
                <w:color w:val="000000" w:themeColor="text1"/>
                <w:sz w:val="24"/>
                <w:szCs w:val="24"/>
                <w:highlight w:val="none"/>
                <w14:textFill>
                  <w14:solidFill>
                    <w14:schemeClr w14:val="tx1"/>
                  </w14:solidFill>
                </w14:textFill>
              </w:rPr>
              <w:t xml:space="preserve">率</w:t>
            </w:r>
            <w:r/>
          </w:p>
        </w:tc>
      </w:tr>
      <w:tr>
        <w:trPr>
          <w:cantSplit/>
          <w:trHeight w:val="960"/>
        </w:trPr>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02" w:type="dxa"/>
            <w:vAlign w:val="center"/>
            <w:textDirection w:val="lrTb"/>
            <w:noWrap w:val="false"/>
          </w:tcPr>
          <w:p>
            <w:pPr>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p>
        </w:tc>
      </w:tr>
    </w:tbl>
    <w:p>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955"/>
        <w:jc w:val="left"/>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供应商（单位盖章）：</w:t>
      </w:r>
      <w:r/>
    </w:p>
    <w:p>
      <w:pPr>
        <w:pStyle w:val="955"/>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法定代表人或代理人（签字或盖章）：</w:t>
      </w:r>
      <w:r/>
    </w:p>
    <w:p>
      <w:pPr>
        <w:pStyle w:val="955"/>
        <w:spacing w:line="360" w:lineRule="auto"/>
        <w:rPr>
          <w:rFonts w:hAnsi="宋体" w:eastAsia="宋体" w:cs="宋体"/>
          <w:color w:val="000000" w:themeColor="text1"/>
          <w:sz w:val="24"/>
          <w:szCs w:val="24"/>
          <w:highlight w:val="none"/>
          <w:lang w:val="zh-CN"/>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日期：     年     月     日</w:t>
      </w:r>
      <w:r/>
    </w:p>
    <w:p>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966"/>
        <w:ind w:firstLine="48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注：</w:t>
      </w:r>
      <w:r/>
    </w:p>
    <w:p>
      <w:pPr>
        <w:pStyle w:val="97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1、本次响应报价须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单项最高限价</w:t>
      </w:r>
      <w:r>
        <w:rPr>
          <w:rFonts w:hint="eastAsia" w:ascii="宋体" w:hAnsi="宋体" w:eastAsia="宋体" w:cs="宋体"/>
          <w:color w:val="000000" w:themeColor="text1"/>
          <w:sz w:val="24"/>
          <w:szCs w:val="24"/>
          <w:highlight w:val="none"/>
          <w14:textFill>
            <w14:solidFill>
              <w14:schemeClr w14:val="tx1"/>
            </w14:solidFill>
          </w14:textFill>
        </w:rPr>
        <w:t xml:space="preserve">基础上统一报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优惠</w:t>
      </w:r>
      <w:r>
        <w:rPr>
          <w:rFonts w:hint="eastAsia" w:ascii="宋体" w:hAnsi="宋体" w:eastAsia="宋体" w:cs="宋体"/>
          <w:color w:val="000000" w:themeColor="text1"/>
          <w:sz w:val="24"/>
          <w:szCs w:val="24"/>
          <w:highlight w:val="none"/>
          <w14:textFill>
            <w14:solidFill>
              <w14:schemeClr w14:val="tx1"/>
            </w14:solidFill>
          </w14:textFill>
        </w:rPr>
        <w:t xml:space="preserve">率（例如：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优惠</w:t>
      </w:r>
      <w:r>
        <w:rPr>
          <w:rFonts w:hint="eastAsia" w:ascii="宋体" w:hAnsi="宋体" w:eastAsia="宋体" w:cs="宋体"/>
          <w:color w:val="000000" w:themeColor="text1"/>
          <w:sz w:val="24"/>
          <w:szCs w:val="24"/>
          <w:highlight w:val="none"/>
          <w14:textFill>
            <w14:solidFill>
              <w14:schemeClr w14:val="tx1"/>
            </w14:solidFill>
          </w14:textFill>
        </w:rPr>
        <w:t xml:space="preserve">率为10%，则表示结算单价为：单</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项</w:t>
      </w:r>
      <w:r>
        <w:rPr>
          <w:rFonts w:hint="eastAsia" w:ascii="宋体" w:hAnsi="宋体" w:eastAsia="宋体" w:cs="宋体"/>
          <w:color w:val="000000" w:themeColor="text1"/>
          <w:sz w:val="24"/>
          <w:szCs w:val="24"/>
          <w:highlight w:val="none"/>
          <w14:textFill>
            <w14:solidFill>
              <w14:schemeClr w14:val="tx1"/>
            </w14:solidFill>
          </w14:textFill>
        </w:rPr>
        <w:t xml:space="preserve">最高限价×（1-10%）），</w:t>
      </w:r>
      <w:r>
        <w:rPr>
          <w:rFonts w:hint="eastAsia" w:hAnsi="宋体" w:eastAsia="宋体" w:cs="宋体"/>
          <w:color w:val="000000" w:themeColor="text1"/>
          <w:sz w:val="24"/>
          <w:szCs w:val="24"/>
          <w:highlight w:val="none"/>
          <w14:textFill>
            <w14:solidFill>
              <w14:schemeClr w14:val="tx1"/>
            </w14:solidFill>
          </w14:textFill>
        </w:rPr>
        <w:t xml:space="preserve">优惠率</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报价</w:t>
      </w:r>
      <w:r>
        <w:rPr>
          <w:rFonts w:hint="eastAsia" w:ascii="宋体" w:hAnsi="宋体" w:eastAsia="宋体" w:cs="宋体"/>
          <w:color w:val="000000" w:themeColor="text1"/>
          <w:sz w:val="24"/>
          <w:szCs w:val="24"/>
          <w:highlight w:val="none"/>
          <w14:textFill>
            <w14:solidFill>
              <w14:schemeClr w14:val="tx1"/>
            </w14:solidFill>
          </w14:textFill>
        </w:rPr>
        <w:t xml:space="preserve">（四舍五入保留两位小数）</w:t>
      </w:r>
      <w:r>
        <w:rPr>
          <w:rFonts w:hint="eastAsia" w:hAnsi="宋体" w:eastAsia="宋体" w:cs="宋体"/>
          <w:color w:val="000000" w:themeColor="text1"/>
          <w:sz w:val="24"/>
          <w:szCs w:val="24"/>
          <w:highlight w:val="none"/>
          <w14:textFill>
            <w14:solidFill>
              <w14:schemeClr w14:val="tx1"/>
            </w14:solidFill>
          </w14:textFill>
        </w:rPr>
        <w:t xml:space="preserve">。</w:t>
      </w:r>
      <w:r/>
    </w:p>
    <w:p>
      <w:pPr>
        <w:pStyle w:val="966"/>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2、供应商所报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优惠</w:t>
      </w:r>
      <w:r>
        <w:rPr>
          <w:rFonts w:hint="eastAsia" w:ascii="宋体" w:hAnsi="宋体" w:eastAsia="宋体" w:cs="宋体"/>
          <w:b/>
          <w:bCs/>
          <w:color w:val="000000" w:themeColor="text1"/>
          <w:sz w:val="24"/>
          <w:szCs w:val="24"/>
          <w:highlight w:val="none"/>
          <w14:textFill>
            <w14:solidFill>
              <w14:schemeClr w14:val="tx1"/>
            </w14:solidFill>
          </w14:textFill>
        </w:rPr>
        <w:t xml:space="preserve">率高，则表示对应的响应报价越低，价格得分则越高。</w:t>
      </w:r>
      <w:r/>
    </w:p>
    <w:p>
      <w:pPr>
        <w:pStyle w:val="966"/>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3、本项目以采购人实际发生数量，按实结算，最终结算金额不超过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本项目预算</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金额或最高限价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55"/>
        <w:ind w:firstLine="480"/>
        <w:jc w:val="left"/>
        <w:spacing w:line="360" w:lineRule="auto"/>
        <w:rPr>
          <w:rFonts w:hint="eastAsia"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r>
      <w:r/>
    </w:p>
    <w:p>
      <w:pPr>
        <w:pStyle w:val="955"/>
        <w:ind w:firstLine="480"/>
        <w:jc w:val="left"/>
        <w:spacing w:line="360" w:lineRule="auto"/>
        <w:rPr>
          <w:rFonts w:hint="eastAsia"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供应商（单位盖章）</w:t>
      </w:r>
      <w:r>
        <w:rPr>
          <w:rFonts w:hint="eastAsia" w:hAnsi="宋体" w:eastAsia="宋体" w:cs="宋体"/>
          <w:color w:val="000000" w:themeColor="text1"/>
          <w:sz w:val="24"/>
          <w:szCs w:val="24"/>
          <w:highlight w:val="none"/>
          <w:lang w:eastAsia="zh-CN"/>
          <w14:textFill>
            <w14:solidFill>
              <w14:schemeClr w14:val="tx1"/>
            </w14:solidFill>
          </w14:textFill>
        </w:rPr>
        <w:t xml:space="preserve">：</w:t>
      </w:r>
      <w:r/>
    </w:p>
    <w:p>
      <w:pPr>
        <w:pStyle w:val="955"/>
        <w:ind w:firstLine="480"/>
        <w:spacing w:line="360" w:lineRule="auto"/>
        <w:rPr>
          <w:rFonts w:hint="eastAsia"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法定代表人或代理人（签字或盖章）</w:t>
      </w:r>
      <w:r>
        <w:rPr>
          <w:rFonts w:hint="eastAsia" w:hAnsi="宋体" w:eastAsia="宋体" w:cs="宋体"/>
          <w:color w:val="000000" w:themeColor="text1"/>
          <w:sz w:val="24"/>
          <w:szCs w:val="24"/>
          <w:highlight w:val="none"/>
          <w:lang w:eastAsia="zh-CN"/>
          <w14:textFill>
            <w14:solidFill>
              <w14:schemeClr w14:val="tx1"/>
            </w14:solidFill>
          </w14:textFill>
        </w:rPr>
        <w:t xml:space="preserve">：</w:t>
      </w:r>
      <w:r/>
    </w:p>
    <w:p>
      <w:pPr>
        <w:pStyle w:val="955"/>
        <w:ind w:firstLine="480"/>
        <w:spacing w:line="360" w:lineRule="auto"/>
        <w:rPr>
          <w:rFonts w:hint="eastAsia" w:hAnsi="宋体" w:eastAsia="宋体" w:cs="宋体"/>
          <w:color w:val="000000" w:themeColor="text1"/>
          <w:sz w:val="24"/>
          <w:szCs w:val="24"/>
          <w:highlight w:val="none"/>
          <w:lang w:val="zh-CN"/>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日期</w:t>
      </w:r>
      <w:r>
        <w:rPr>
          <w:rFonts w:hint="eastAsia" w:hAnsi="宋体" w:eastAsia="宋体" w:cs="宋体"/>
          <w:color w:val="000000" w:themeColor="text1"/>
          <w:sz w:val="24"/>
          <w:szCs w:val="24"/>
          <w:highlight w:val="none"/>
          <w:lang w:eastAsia="zh-CN"/>
          <w14:textFill>
            <w14:solidFill>
              <w14:schemeClr w14:val="tx1"/>
            </w14:solidFill>
          </w14:textFill>
        </w:rPr>
        <w:t xml:space="preserve">：</w:t>
      </w:r>
      <w:r>
        <w:rPr>
          <w:rFonts w:hint="eastAsia" w:hAnsi="宋体" w:eastAsia="宋体" w:cs="宋体"/>
          <w:color w:val="000000" w:themeColor="text1"/>
          <w:sz w:val="24"/>
          <w:szCs w:val="24"/>
          <w:highlight w:val="none"/>
          <w14:textFill>
            <w14:solidFill>
              <w14:schemeClr w14:val="tx1"/>
            </w14:solidFill>
          </w14:textFill>
        </w:rPr>
        <w:t xml:space="preserve">     年     月     日</w:t>
      </w:r>
      <w:r/>
    </w:p>
    <w:p>
      <w:pPr>
        <w:pStyle w:val="952"/>
        <w:ind w:right="420" w:firstLine="0"/>
        <w:spacing w:line="360" w:lineRule="auto"/>
        <w:rPr>
          <w:rFonts w:hint="eastAsia" w:ascii="宋体" w:hAnsi="宋体" w:eastAsia="宋体" w:cs="宋体"/>
          <w:b/>
          <w:bCs/>
          <w:color w:val="000000" w:themeColor="text1"/>
          <w:szCs w:val="24"/>
          <w:highlight w:val="none"/>
          <w:lang w:val="en-US" w:eastAsia="zh-CN"/>
          <w14:textFill>
            <w14:solidFill>
              <w14:schemeClr w14:val="tx1"/>
            </w14:solidFill>
          </w14:textFill>
        </w:rPr>
      </w:pPr>
      <w:r>
        <w:rPr>
          <w:rFonts w:hint="eastAsia" w:ascii="宋体" w:hAnsi="宋体" w:eastAsia="宋体" w:cs="宋体"/>
          <w:b/>
          <w:bCs/>
          <w:color w:val="000000" w:themeColor="text1"/>
          <w:szCs w:val="24"/>
          <w:highlight w:val="none"/>
          <w:lang w:val="en-US" w:eastAsia="zh-CN"/>
          <w14:textFill>
            <w14:solidFill>
              <w14:schemeClr w14:val="tx1"/>
            </w14:solidFill>
          </w14:textFill>
        </w:rPr>
      </w:r>
      <w:r/>
    </w:p>
    <w:p>
      <w:pPr>
        <w:pStyle w:val="952"/>
        <w:ind w:right="420" w:firstLine="0"/>
        <w:spacing w:line="360" w:lineRule="auto"/>
        <w:rPr>
          <w:rFonts w:hint="eastAsia" w:ascii="宋体" w:hAnsi="宋体" w:eastAsia="宋体" w:cs="宋体"/>
          <w:b/>
          <w:bCs/>
          <w:color w:val="000000" w:themeColor="text1"/>
          <w:szCs w:val="24"/>
          <w:highlight w:val="none"/>
          <w:lang w:val="en-US" w:eastAsia="zh-CN"/>
          <w14:textFill>
            <w14:solidFill>
              <w14:schemeClr w14:val="tx1"/>
            </w14:solidFill>
          </w14:textFill>
        </w:rPr>
      </w:pPr>
      <w:r>
        <w:rPr>
          <w:rFonts w:hint="eastAsia" w:ascii="宋体" w:hAnsi="宋体" w:eastAsia="宋体" w:cs="宋体"/>
          <w:b/>
          <w:bCs/>
          <w:color w:val="000000" w:themeColor="text1"/>
          <w:szCs w:val="24"/>
          <w:highlight w:val="none"/>
          <w:lang w:val="en-US" w:eastAsia="zh-CN"/>
          <w14:textFill>
            <w14:solidFill>
              <w14:schemeClr w14:val="tx1"/>
            </w14:solidFill>
          </w14:textFill>
        </w:rPr>
      </w:r>
      <w:r/>
    </w:p>
    <w:p>
      <w:pPr>
        <w:pStyle w:val="952"/>
        <w:ind w:right="420" w:firstLine="0"/>
        <w:spacing w:line="360" w:lineRule="auto"/>
        <w:rPr>
          <w:rFonts w:hint="eastAsia" w:ascii="宋体" w:hAnsi="宋体" w:eastAsia="宋体" w:cs="宋体"/>
          <w:b/>
          <w:bCs/>
          <w:color w:val="000000" w:themeColor="text1"/>
          <w:szCs w:val="24"/>
          <w:highlight w:val="none"/>
          <w:lang w:val="en-US" w:eastAsia="zh-CN"/>
          <w14:textFill>
            <w14:solidFill>
              <w14:schemeClr w14:val="tx1"/>
            </w14:solidFill>
          </w14:textFill>
        </w:rPr>
      </w:pPr>
      <w:r>
        <w:rPr>
          <w:rFonts w:hint="eastAsia" w:ascii="宋体" w:hAnsi="宋体" w:eastAsia="宋体" w:cs="宋体"/>
          <w:b/>
          <w:bCs/>
          <w:color w:val="000000" w:themeColor="text1"/>
          <w:szCs w:val="24"/>
          <w:highlight w:val="none"/>
          <w:lang w:val="en-US" w:eastAsia="zh-CN"/>
          <w14:textFill>
            <w14:solidFill>
              <w14:schemeClr w14:val="tx1"/>
            </w14:solidFill>
          </w14:textFill>
        </w:rPr>
      </w:r>
      <w:r/>
    </w:p>
    <w:p>
      <w:pPr>
        <w:pStyle w:val="952"/>
        <w:ind w:right="420" w:firstLine="0"/>
        <w:spacing w:line="360" w:lineRule="auto"/>
        <w:rPr>
          <w:rFonts w:hint="eastAsia" w:ascii="宋体" w:hAnsi="宋体" w:eastAsia="宋体" w:cs="宋体"/>
          <w:b/>
          <w:bCs/>
          <w:color w:val="000000" w:themeColor="text1"/>
          <w:szCs w:val="24"/>
          <w:highlight w:val="none"/>
          <w:lang w:val="en-US" w:eastAsia="zh-CN"/>
          <w14:textFill>
            <w14:solidFill>
              <w14:schemeClr w14:val="tx1"/>
            </w14:solidFill>
          </w14:textFill>
        </w:rPr>
      </w:pPr>
      <w:r>
        <w:rPr>
          <w:rFonts w:hint="eastAsia" w:ascii="宋体" w:hAnsi="宋体" w:eastAsia="宋体" w:cs="宋体"/>
          <w:b/>
          <w:bCs/>
          <w:color w:val="000000" w:themeColor="text1"/>
          <w:szCs w:val="24"/>
          <w:highlight w:val="none"/>
          <w:lang w:val="en-US" w:eastAsia="zh-CN"/>
          <w14:textFill>
            <w14:solidFill>
              <w14:schemeClr w14:val="tx1"/>
            </w14:solidFill>
          </w14:textFill>
        </w:rPr>
      </w:r>
      <w:r/>
    </w:p>
    <w:p>
      <w:pPr>
        <w:pStyle w:val="952"/>
        <w:ind w:right="420" w:firstLine="0"/>
        <w:spacing w:line="360" w:lineRule="auto"/>
        <w:rPr>
          <w:rFonts w:hint="eastAsia" w:ascii="宋体" w:hAnsi="宋体" w:eastAsia="宋体" w:cs="宋体"/>
          <w:b/>
          <w:bCs/>
          <w:color w:val="000000" w:themeColor="text1"/>
          <w:szCs w:val="24"/>
          <w:highlight w:val="none"/>
          <w:lang w:val="en-US" w:eastAsia="zh-CN"/>
          <w14:textFill>
            <w14:solidFill>
              <w14:schemeClr w14:val="tx1"/>
            </w14:solidFill>
          </w14:textFill>
        </w:rPr>
      </w:pPr>
      <w:r>
        <w:rPr>
          <w:rFonts w:hint="eastAsia" w:ascii="宋体" w:hAnsi="宋体" w:eastAsia="宋体" w:cs="宋体"/>
          <w:b/>
          <w:bCs/>
          <w:color w:val="000000" w:themeColor="text1"/>
          <w:szCs w:val="24"/>
          <w:highlight w:val="none"/>
          <w:lang w:val="en-US" w:eastAsia="zh-CN"/>
          <w14:textFill>
            <w14:solidFill>
              <w14:schemeClr w14:val="tx1"/>
            </w14:solidFill>
          </w14:textFill>
        </w:rPr>
      </w:r>
      <w:r/>
    </w:p>
    <w:p>
      <w:pPr>
        <w:pStyle w:val="952"/>
        <w:ind w:right="420" w:firstLine="0"/>
        <w:spacing w:line="360" w:lineRule="auto"/>
        <w:rPr>
          <w:rFonts w:hint="eastAsia" w:ascii="宋体" w:hAnsi="宋体" w:eastAsia="宋体" w:cs="宋体"/>
          <w:b/>
          <w:bCs/>
          <w:color w:val="000000" w:themeColor="text1"/>
          <w:szCs w:val="24"/>
          <w:highlight w:val="none"/>
          <w:lang w:val="en-US" w:eastAsia="zh-CN"/>
          <w14:textFill>
            <w14:solidFill>
              <w14:schemeClr w14:val="tx1"/>
            </w14:solidFill>
          </w14:textFill>
        </w:rPr>
      </w:pPr>
      <w:r>
        <w:rPr>
          <w:rFonts w:hint="eastAsia" w:ascii="宋体" w:hAnsi="宋体" w:eastAsia="宋体" w:cs="宋体"/>
          <w:b/>
          <w:bCs/>
          <w:color w:val="000000" w:themeColor="text1"/>
          <w:szCs w:val="24"/>
          <w:highlight w:val="none"/>
          <w:lang w:val="en-US" w:eastAsia="zh-CN"/>
          <w14:textFill>
            <w14:solidFill>
              <w14:schemeClr w14:val="tx1"/>
            </w14:solidFill>
          </w14:textFill>
        </w:rPr>
      </w:r>
      <w:r/>
    </w:p>
    <w:p>
      <w:pPr>
        <w:pStyle w:val="952"/>
        <w:ind w:right="420" w:firstLine="0"/>
        <w:spacing w:line="360" w:lineRule="auto"/>
        <w:rPr>
          <w:rFonts w:hint="eastAsia" w:ascii="宋体" w:hAnsi="宋体" w:eastAsia="宋体" w:cs="宋体"/>
          <w:b/>
          <w:bCs/>
          <w:color w:val="000000" w:themeColor="text1"/>
          <w:szCs w:val="24"/>
          <w:highlight w:val="none"/>
          <w:lang w:val="en-US" w:eastAsia="zh-CN"/>
          <w14:textFill>
            <w14:solidFill>
              <w14:schemeClr w14:val="tx1"/>
            </w14:solidFill>
          </w14:textFill>
        </w:rPr>
      </w:pPr>
      <w:r>
        <w:rPr>
          <w:rFonts w:hint="eastAsia" w:ascii="宋体" w:hAnsi="宋体" w:eastAsia="宋体" w:cs="宋体"/>
          <w:b/>
          <w:bCs/>
          <w:color w:val="000000" w:themeColor="text1"/>
          <w:szCs w:val="24"/>
          <w:highlight w:val="none"/>
          <w:lang w:val="en-US" w:eastAsia="zh-CN"/>
          <w14:textFill>
            <w14:solidFill>
              <w14:schemeClr w14:val="tx1"/>
            </w14:solidFill>
          </w14:textFill>
        </w:rPr>
      </w:r>
      <w:r/>
    </w:p>
    <w:p>
      <w:pPr>
        <w:pStyle w:val="952"/>
        <w:ind w:right="420" w:firstLine="0"/>
        <w:spacing w:line="360" w:lineRule="auto"/>
        <w:rPr>
          <w:rFonts w:hint="eastAsia" w:ascii="宋体" w:hAnsi="宋体" w:eastAsia="宋体" w:cs="宋体"/>
          <w:b/>
          <w:bCs/>
          <w:color w:val="000000" w:themeColor="text1"/>
          <w:szCs w:val="24"/>
          <w:highlight w:val="none"/>
          <w:lang w:val="en-US" w:eastAsia="zh-CN"/>
          <w14:textFill>
            <w14:solidFill>
              <w14:schemeClr w14:val="tx1"/>
            </w14:solidFill>
          </w14:textFill>
        </w:rPr>
      </w:pPr>
      <w:r>
        <w:rPr>
          <w:rFonts w:hint="eastAsia" w:ascii="宋体" w:hAnsi="宋体" w:eastAsia="宋体" w:cs="宋体"/>
          <w:b/>
          <w:bCs/>
          <w:color w:val="000000" w:themeColor="text1"/>
          <w:szCs w:val="24"/>
          <w:highlight w:val="none"/>
          <w:lang w:val="en-US" w:eastAsia="zh-CN"/>
          <w14:textFill>
            <w14:solidFill>
              <w14:schemeClr w14:val="tx1"/>
            </w14:solidFill>
          </w14:textFill>
        </w:rPr>
      </w:r>
      <w:r/>
    </w:p>
    <w:p>
      <w:pPr>
        <w:pStyle w:val="952"/>
        <w:ind w:right="420" w:firstLine="0"/>
        <w:spacing w:line="360" w:lineRule="auto"/>
        <w:rPr>
          <w:rFonts w:hint="eastAsia" w:ascii="宋体" w:hAnsi="宋体" w:eastAsia="宋体" w:cs="宋体"/>
          <w:b/>
          <w:bCs/>
          <w:color w:val="000000" w:themeColor="text1"/>
          <w:szCs w:val="24"/>
          <w:highlight w:val="none"/>
          <w:lang w:val="en-US" w:eastAsia="zh-CN"/>
          <w14:textFill>
            <w14:solidFill>
              <w14:schemeClr w14:val="tx1"/>
            </w14:solidFill>
          </w14:textFill>
        </w:rPr>
      </w:pPr>
      <w:r>
        <w:rPr>
          <w:rFonts w:hint="eastAsia" w:ascii="宋体" w:hAnsi="宋体" w:eastAsia="宋体" w:cs="宋体"/>
          <w:b/>
          <w:bCs/>
          <w:color w:val="000000" w:themeColor="text1"/>
          <w:szCs w:val="24"/>
          <w:highlight w:val="none"/>
          <w:lang w:val="en-US" w:eastAsia="zh-CN"/>
          <w14:textFill>
            <w14:solidFill>
              <w14:schemeClr w14:val="tx1"/>
            </w14:solidFill>
          </w14:textFill>
        </w:rPr>
      </w:r>
      <w:r/>
    </w:p>
    <w:p>
      <w:pPr>
        <w:pStyle w:val="952"/>
        <w:ind w:right="420" w:firstLine="0"/>
        <w:spacing w:line="360" w:lineRule="auto"/>
        <w:rPr>
          <w:rFonts w:hint="eastAsia" w:ascii="宋体" w:hAnsi="宋体" w:eastAsia="宋体" w:cs="宋体"/>
          <w:b/>
          <w:bCs/>
          <w:color w:val="000000" w:themeColor="text1"/>
          <w:szCs w:val="24"/>
          <w:highlight w:val="none"/>
          <w:lang w:val="en-US" w:eastAsia="zh-CN"/>
          <w14:textFill>
            <w14:solidFill>
              <w14:schemeClr w14:val="tx1"/>
            </w14:solidFill>
          </w14:textFill>
        </w:rPr>
      </w:pPr>
      <w:r>
        <w:rPr>
          <w:rFonts w:hint="eastAsia" w:ascii="宋体" w:hAnsi="宋体" w:eastAsia="宋体" w:cs="宋体"/>
          <w:b/>
          <w:bCs/>
          <w:color w:val="000000" w:themeColor="text1"/>
          <w:szCs w:val="24"/>
          <w:highlight w:val="none"/>
          <w:lang w:val="en-US" w:eastAsia="zh-CN"/>
          <w14:textFill>
            <w14:solidFill>
              <w14:schemeClr w14:val="tx1"/>
            </w14:solidFill>
          </w14:textFill>
        </w:rPr>
      </w:r>
      <w:r/>
    </w:p>
    <w:p>
      <w:pPr>
        <w:pStyle w:val="952"/>
        <w:ind w:right="420" w:firstLine="0"/>
        <w:spacing w:line="360" w:lineRule="auto"/>
        <w:rPr>
          <w:rFonts w:hint="eastAsia" w:ascii="宋体" w:hAnsi="宋体" w:eastAsia="宋体" w:cs="宋体"/>
          <w:b/>
          <w:bCs/>
          <w:color w:val="000000" w:themeColor="text1"/>
          <w:szCs w:val="24"/>
          <w:highlight w:val="none"/>
          <w:lang w:val="en-US" w:eastAsia="zh-CN"/>
          <w14:textFill>
            <w14:solidFill>
              <w14:schemeClr w14:val="tx1"/>
            </w14:solidFill>
          </w14:textFill>
        </w:rPr>
      </w:pPr>
      <w:r>
        <w:rPr>
          <w:rFonts w:hint="eastAsia" w:ascii="宋体" w:hAnsi="宋体" w:eastAsia="宋体" w:cs="宋体"/>
          <w:b/>
          <w:bCs/>
          <w:color w:val="000000" w:themeColor="text1"/>
          <w:szCs w:val="24"/>
          <w:highlight w:val="none"/>
          <w:lang w:val="en-US" w:eastAsia="zh-CN"/>
          <w14:textFill>
            <w14:solidFill>
              <w14:schemeClr w14:val="tx1"/>
            </w14:solidFill>
          </w14:textFill>
        </w:rPr>
      </w:r>
      <w:r/>
    </w:p>
    <w:p>
      <w:pPr>
        <w:pStyle w:val="952"/>
        <w:ind w:right="420" w:firstLine="0"/>
        <w:spacing w:line="360" w:lineRule="auto"/>
        <w:rPr>
          <w:rFonts w:hint="eastAsia" w:ascii="宋体" w:hAnsi="宋体" w:eastAsia="宋体" w:cs="宋体"/>
          <w:b/>
          <w:bCs/>
          <w:color w:val="000000" w:themeColor="text1"/>
          <w:szCs w:val="24"/>
          <w:highlight w:val="none"/>
          <w:lang w:val="en-US" w:eastAsia="zh-CN"/>
          <w14:textFill>
            <w14:solidFill>
              <w14:schemeClr w14:val="tx1"/>
            </w14:solidFill>
          </w14:textFill>
        </w:rPr>
      </w:pPr>
      <w:r>
        <w:rPr>
          <w:rFonts w:hint="eastAsia" w:ascii="宋体" w:hAnsi="宋体" w:eastAsia="宋体" w:cs="宋体"/>
          <w:b/>
          <w:bCs/>
          <w:color w:val="000000" w:themeColor="text1"/>
          <w:szCs w:val="24"/>
          <w:highlight w:val="none"/>
          <w:lang w:val="en-US" w:eastAsia="zh-CN"/>
          <w14:textFill>
            <w14:solidFill>
              <w14:schemeClr w14:val="tx1"/>
            </w14:solidFill>
          </w14:textFill>
        </w:rPr>
      </w:r>
      <w:r/>
    </w:p>
    <w:p>
      <w:pPr>
        <w:pStyle w:val="952"/>
        <w:ind w:right="420" w:firstLine="0"/>
        <w:spacing w:line="360" w:lineRule="auto"/>
        <w:rPr>
          <w:rFonts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Cs w:val="24"/>
          <w:highlight w:val="none"/>
          <w:lang w:val="en-US" w:eastAsia="zh-CN"/>
          <w14:textFill>
            <w14:solidFill>
              <w14:schemeClr w14:val="tx1"/>
            </w14:solidFill>
          </w14:textFill>
        </w:rPr>
        <w:t xml:space="preserve">5、磋商响应明细报价表</w:t>
      </w:r>
      <w:r/>
    </w:p>
    <w:p>
      <w:pPr>
        <w:pStyle w:val="965"/>
        <w:jc w:val="center"/>
        <w:spacing w:line="360" w:lineRule="auto"/>
        <w:rPr>
          <w:rFonts w:hint="eastAsia"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u w:val="single"/>
          <w14:textFill>
            <w14:solidFill>
              <w14:schemeClr w14:val="tx1"/>
            </w14:solidFill>
          </w14:textFill>
        </w:rPr>
        <w:t xml:space="preserve">          </w:t>
      </w:r>
      <w:r>
        <w:rPr>
          <w:rFonts w:hint="eastAsia" w:hAnsi="宋体" w:eastAsia="宋体" w:cs="宋体"/>
          <w:color w:val="000000" w:themeColor="text1"/>
          <w:sz w:val="24"/>
          <w:szCs w:val="24"/>
          <w:highlight w:val="none"/>
          <w14:textFill>
            <w14:solidFill>
              <w14:schemeClr w14:val="tx1"/>
            </w14:solidFill>
          </w14:textFill>
        </w:rPr>
        <w:t xml:space="preserve">项目响应报价表</w:t>
      </w:r>
      <w:r>
        <w:rPr>
          <w:rFonts w:hint="eastAsia" w:hAnsi="宋体" w:eastAsia="宋体" w:cs="宋体"/>
          <w:color w:val="000000" w:themeColor="text1"/>
          <w:sz w:val="24"/>
          <w:szCs w:val="24"/>
          <w:highlight w:val="none"/>
          <w:lang w:eastAsia="zh-CN"/>
          <w14:textFill>
            <w14:solidFill>
              <w14:schemeClr w14:val="tx1"/>
            </w14:solidFill>
          </w14:textFill>
        </w:rPr>
        <w:t xml:space="preserve">（</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第</w:t>
      </w:r>
      <w:r>
        <w:rPr>
          <w:rFonts w:hint="eastAsia" w:hAnsi="宋体" w:eastAsia="宋体" w:cs="宋体"/>
          <w:color w:val="000000" w:themeColor="text1"/>
          <w:sz w:val="24"/>
          <w:szCs w:val="24"/>
          <w:highlight w:val="none"/>
          <w:u w:val="single"/>
          <w:lang w:val="en-US" w:eastAsia="zh-CN"/>
          <w14:textFill>
            <w14:solidFill>
              <w14:schemeClr w14:val="tx1"/>
            </w14:solidFill>
          </w14:textFill>
        </w:rPr>
        <w:t xml:space="preserve"> 1 </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标段</w:t>
      </w:r>
      <w:r>
        <w:rPr>
          <w:rFonts w:hint="eastAsia" w:hAnsi="宋体" w:eastAsia="宋体" w:cs="宋体"/>
          <w:color w:val="000000" w:themeColor="text1"/>
          <w:sz w:val="24"/>
          <w:szCs w:val="24"/>
          <w:highlight w:val="none"/>
          <w:lang w:eastAsia="zh-CN"/>
          <w14:textFill>
            <w14:solidFill>
              <w14:schemeClr w14:val="tx1"/>
            </w14:solidFill>
          </w14:textFill>
        </w:rPr>
        <w:t xml:space="preserve">）</w:t>
      </w:r>
      <w:r/>
    </w:p>
    <w:tbl>
      <w:tblPr>
        <w:tblStyle w:val="950"/>
        <w:tblW w:w="10217"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7"/>
        <w:gridCol w:w="3750"/>
        <w:gridCol w:w="1417"/>
        <w:gridCol w:w="1016"/>
        <w:gridCol w:w="1784"/>
        <w:gridCol w:w="1433"/>
      </w:tblGrid>
      <w:tr>
        <w:trPr>
          <w:trHeight w:val="300"/>
        </w:trPr>
        <w:tc>
          <w:tcPr>
            <w:shd w:val="clear" w:color="auto" w:fill="auto"/>
            <w:tcBorders>
              <w:top w:val="single" w:color="000000" w:sz="8" w:space="0"/>
              <w:left w:val="single" w:color="000000" w:sz="8" w:space="0"/>
              <w:bottom w:val="single" w:color="000000" w:sz="8" w:space="0"/>
              <w:right w:val="single" w:color="000000" w:sz="8" w:space="0"/>
            </w:tcBorders>
            <w:tcW w:w="817" w:type="dxa"/>
            <w:vAlign w:val="center"/>
            <w:textDirection w:val="lrTb"/>
            <w:noWrap w:val="false"/>
          </w:tcPr>
          <w:p>
            <w:pPr>
              <w:jc w:val="both"/>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项目名称</w:t>
            </w:r>
            <w:r/>
          </w:p>
        </w:tc>
        <w:tc>
          <w:tcPr>
            <w:shd w:val="clear" w:color="auto" w:fill="auto"/>
            <w:tcBorders>
              <w:top w:val="single" w:color="000000" w:sz="8"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单价最高限价（元）</w:t>
            </w:r>
            <w:r/>
          </w:p>
        </w:tc>
        <w:tc>
          <w:tcPr>
            <w:shd w:val="clear" w:color="auto" w:fill="auto"/>
            <w:tcBorders>
              <w:top w:val="single" w:color="000000" w:sz="8"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单位数量</w:t>
            </w:r>
            <w:r/>
          </w:p>
        </w:tc>
        <w:tc>
          <w:tcPr>
            <w:shd w:val="clear" w:color="auto" w:fill="auto"/>
            <w:tcBorders>
              <w:top w:val="single" w:color="000000" w:sz="8" w:space="0"/>
              <w:left w:val="none" w:color="000000" w:sz="4" w:space="0"/>
              <w:bottom w:val="single" w:color="000000" w:sz="8" w:space="0"/>
              <w:right w:val="single" w:color="000000" w:sz="8" w:space="0"/>
            </w:tcBorders>
            <w:tcW w:w="1784"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根据单项最高限价报优惠率（%）</w:t>
            </w:r>
            <w:r/>
          </w:p>
        </w:tc>
        <w:tc>
          <w:tcPr>
            <w:shd w:val="clear" w:color="auto" w:fill="auto"/>
            <w:tcBorders>
              <w:top w:val="single" w:color="000000" w:sz="8" w:space="0"/>
              <w:left w:val="none" w:color="000000" w:sz="4" w:space="0"/>
              <w:bottom w:val="single" w:color="000000" w:sz="8" w:space="0"/>
              <w:right w:val="single" w:color="000000" w:sz="8" w:space="0"/>
            </w:tcBorders>
            <w:tcW w:w="1433"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优惠后单价（元）</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胰岛素生长因子-1测定（IGF-1）</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restart"/>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类胰岛素生长因子结合蛋白-3测定（IGF-3）</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甲状腺球蛋白（TG）</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促甲状腺激素受体抗体测定（TRAb）</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人绒毛膜促性腺激素（HCG）</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硫酸脱氢表雄甾酮</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人生长激素</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孕酮测定</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皮质醇测定</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促肾上腺皮质激素测定</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食物不耐受检查</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168</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TNBK淋巴细胞（计数）</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108</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过敏原测定（血）</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240</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24小时尿蛋白</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尿微量白蛋白测定</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尿N-乙酰-β-D-氨基糖苷酶(NAG)测定</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尿肌酐</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尿转铁蛋白</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尿β2微球蛋白</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尿α1微球蛋白</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尿免疫球蛋白G</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尿钙测定</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尿本周蛋白定性检测</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0.8</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尿视黄醇结合蛋白</w:t>
            </w:r>
            <w:r>
              <w:rPr>
                <w:rStyle w:val="973"/>
                <w:rFonts w:eastAsia="宋体"/>
                <w:color w:val="000000" w:themeColor="text1"/>
                <w:highlight w:val="none"/>
                <w:lang w:val="en-US" w:eastAsia="zh-CN" w:bidi="ar"/>
                <w14:textFill>
                  <w14:solidFill>
                    <w14:schemeClr w14:val="tx1"/>
                  </w14:solidFill>
                </w14:textFill>
              </w:rPr>
              <w:t xml:space="preserve">(URBP)</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测定</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尿儿茶酚胺</w:t>
            </w:r>
            <w:r>
              <w:rPr>
                <w:rStyle w:val="973"/>
                <w:rFonts w:eastAsia="宋体"/>
                <w:color w:val="000000" w:themeColor="text1"/>
                <w:highlight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项（需备注</w:t>
            </w:r>
            <w:r>
              <w:rPr>
                <w:rStyle w:val="973"/>
                <w:rFonts w:eastAsia="宋体"/>
                <w:color w:val="000000" w:themeColor="text1"/>
                <w:highlight w:val="none"/>
                <w:lang w:val="en-US" w:eastAsia="zh-CN" w:bidi="ar"/>
                <w14:textFill>
                  <w14:solidFill>
                    <w14:schemeClr w14:val="tx1"/>
                  </w14:solidFill>
                </w14:textFill>
              </w:rPr>
              <w:t xml:space="preserve">24H</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尿量）</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104</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抗缪勒氏管激素定量测定（</w:t>
            </w:r>
            <w:r>
              <w:rPr>
                <w:rStyle w:val="973"/>
                <w:rFonts w:eastAsia="宋体"/>
                <w:color w:val="000000" w:themeColor="text1"/>
                <w:highlight w:val="none"/>
                <w:lang w:val="en-US" w:eastAsia="zh-CN" w:bidi="ar"/>
                <w14:textFill>
                  <w14:solidFill>
                    <w14:schemeClr w14:val="tx1"/>
                  </w14:solidFill>
                </w14:textFill>
              </w:rPr>
              <w:t xml:space="preserve">AMH)</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64</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人抑制素B</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64</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w:t>
            </w:r>
            <w:r>
              <w:rPr>
                <w:rStyle w:val="974"/>
                <w:rFonts w:eastAsia="宋体"/>
                <w:color w:val="000000" w:themeColor="text1"/>
                <w:highlight w:val="none"/>
                <w:lang w:val="en-US" w:eastAsia="zh-CN" w:bidi="ar"/>
                <w14:textFill>
                  <w14:solidFill>
                    <w14:schemeClr w14:val="tx1"/>
                  </w14:solidFill>
                </w14:textFill>
              </w:rPr>
              <w:t xml:space="preserve">α</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羟孕酮测定</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抗角蛋白抗体</w:t>
            </w:r>
            <w:r>
              <w:rPr>
                <w:rStyle w:val="973"/>
                <w:rFonts w:eastAsia="宋体"/>
                <w:color w:val="000000" w:themeColor="text1"/>
                <w:highlight w:val="none"/>
                <w:lang w:val="en-US" w:eastAsia="zh-CN" w:bidi="ar"/>
                <w14:textFill>
                  <w14:solidFill>
                    <w14:schemeClr w14:val="tx1"/>
                  </w14:solidFill>
                </w14:textFill>
              </w:rPr>
              <w:t xml:space="preserve">(AKA)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测定</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抗中性粒细胞胞浆抗体（</w:t>
            </w:r>
            <w:r>
              <w:rPr>
                <w:rStyle w:val="973"/>
                <w:rFonts w:eastAsia="宋体"/>
                <w:color w:val="000000" w:themeColor="text1"/>
                <w:highlight w:val="none"/>
                <w:lang w:val="en-US" w:eastAsia="zh-CN" w:bidi="ar"/>
                <w14:textFill>
                  <w14:solidFill>
                    <w14:schemeClr w14:val="tx1"/>
                  </w14:solidFill>
                </w14:textFill>
              </w:rPr>
              <w:t xml:space="preserve">ANCA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抗环瓜氨酸多肽抗体（</w:t>
            </w:r>
            <w:r>
              <w:rPr>
                <w:rStyle w:val="973"/>
                <w:rFonts w:eastAsia="宋体"/>
                <w:color w:val="000000" w:themeColor="text1"/>
                <w:highlight w:val="none"/>
                <w:lang w:val="en-US" w:eastAsia="zh-CN" w:bidi="ar"/>
                <w14:textFill>
                  <w14:solidFill>
                    <w14:schemeClr w14:val="tx1"/>
                  </w14:solidFill>
                </w14:textFill>
              </w:rPr>
              <w:t xml:space="preserve">CCP</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抗心磷脂抗体</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狼疮抗凝物质</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涎液化糖链抗原-6（KL-6）</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68</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ENA谱14项</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112</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铜蓝蛋白测定</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人类白细胞抗原B27测定</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糖化血红蛋白测定</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糖化血清蛋白测定</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糖化白蛋白测定</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41</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果糖胺测定</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109"/>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糖尿病两项（</w:t>
            </w:r>
            <w:r>
              <w:rPr>
                <w:rStyle w:val="973"/>
                <w:rFonts w:eastAsia="宋体"/>
                <w:color w:val="000000" w:themeColor="text1"/>
                <w:highlight w:val="none"/>
                <w:lang w:val="en-US" w:eastAsia="zh-CN" w:bidi="ar"/>
                <w14:textFill>
                  <w14:solidFill>
                    <w14:schemeClr w14:val="tx1"/>
                  </w14:solidFill>
                </w14:textFill>
              </w:rPr>
              <w:t xml:space="preserve">ICA+GAD-Ab)</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抗胰岛素抗体（</w:t>
            </w:r>
            <w:r>
              <w:rPr>
                <w:rStyle w:val="973"/>
                <w:rFonts w:eastAsia="宋体"/>
                <w:color w:val="000000" w:themeColor="text1"/>
                <w:highlight w:val="none"/>
                <w:lang w:val="en-US" w:eastAsia="zh-CN" w:bidi="ar"/>
                <w14:textFill>
                  <w14:solidFill>
                    <w14:schemeClr w14:val="tx1"/>
                  </w14:solidFill>
                </w14:textFill>
              </w:rPr>
              <w:t xml:space="preserve">IAA)</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31.6</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丙型肝炎病毒</w:t>
            </w:r>
            <w:r>
              <w:rPr>
                <w:rStyle w:val="973"/>
                <w:rFonts w:eastAsia="宋体"/>
                <w:color w:val="000000" w:themeColor="text1"/>
                <w:highlight w:val="none"/>
                <w:lang w:val="en-US" w:eastAsia="zh-CN" w:bidi="ar"/>
                <w14:textFill>
                  <w14:solidFill>
                    <w14:schemeClr w14:val="tx1"/>
                  </w14:solidFill>
                </w14:textFill>
              </w:rPr>
              <w:t xml:space="preserve">RNA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检测</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乙型肝炎DNA测定</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肝炎全套</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47</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促红细胞生成素测定</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甲状旁腺激素测定</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铁蛋白</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13.6</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维生素B12测定</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叶酸测定</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血小板相关抗体</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TORCH检查</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172</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柯萨奇病毒IgM抗体</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CMV相关抗体</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64</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56</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高血压三项</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21.6</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57</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同型半胱氨酸</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58</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糖类抗原125测定</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59</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糖类抗原15-3测定</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糖类抗原19-9测定</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61</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糖类抗原72-4测定</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62</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神经元特异性烯醇化酶测定</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63</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细胞角蛋白19片段测定</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64</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糖类抗原50测定</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65</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鳞状细胞癌相关抗原SCC测定</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66</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糖类抗原242测定</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67</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总前列腺特异性抗原测定（</w:t>
            </w:r>
            <w:r>
              <w:rPr>
                <w:rStyle w:val="973"/>
                <w:rFonts w:eastAsia="宋体"/>
                <w:color w:val="000000" w:themeColor="text1"/>
                <w:highlight w:val="none"/>
                <w:lang w:val="en-US" w:eastAsia="zh-CN" w:bidi="ar"/>
                <w14:textFill>
                  <w14:solidFill>
                    <w14:schemeClr w14:val="tx1"/>
                  </w14:solidFill>
                </w14:textFill>
              </w:rPr>
              <w:t xml:space="preserve">TPSA)</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68</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游离前列腺特异性抗原测定（</w:t>
            </w:r>
            <w:r>
              <w:rPr>
                <w:rStyle w:val="973"/>
                <w:rFonts w:eastAsia="宋体"/>
                <w:color w:val="000000" w:themeColor="text1"/>
                <w:highlight w:val="none"/>
                <w:lang w:val="en-US" w:eastAsia="zh-CN" w:bidi="ar"/>
                <w14:textFill>
                  <w14:solidFill>
                    <w14:schemeClr w14:val="tx1"/>
                  </w14:solidFill>
                </w14:textFill>
              </w:rPr>
              <w:t xml:space="preserve">FPSA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69</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血管内皮生长因子检测</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70</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G试验</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62</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71</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GM试验</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72</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血清双氢睾酮测定</w:t>
            </w:r>
            <w:r>
              <w:rPr>
                <w:rStyle w:val="973"/>
                <w:rFonts w:eastAsia="宋体"/>
                <w:color w:val="000000" w:themeColor="text1"/>
                <w:highlight w:val="none"/>
                <w:lang w:val="en-US" w:eastAsia="zh-CN" w:bidi="ar"/>
                <w14:textFill>
                  <w14:solidFill>
                    <w14:schemeClr w14:val="tx1"/>
                  </w14:solidFill>
                </w14:textFill>
              </w:rPr>
              <w:t xml:space="preserve">(DHT)</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73</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自身免疫性肝病抗体</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102.8</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74</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外周血染色体检查（需申请单）</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96</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75</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结核感染T细胞检测（TB-IGRA）</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160</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76</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结核分枝杆菌rpoB基因和突变检测</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244</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77</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串联质谱遗传代谢病筛查</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117.6</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78</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双阴性T细胞</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79</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Th1/Th2/Th17亚群检测</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106</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80</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Y微缺失检测</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160</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81</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FISH（原位荧光杂交）无需申请单</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400</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82</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病原宏基因组测序（mNGS）</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1440</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83</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基因芯片（需申请单）</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1280</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84</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甲状腺球蛋白抗体</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85</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甲状腺过氧化物酶抗体</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86</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雄烯二酮</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87</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血酮体</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15.2</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3"/>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88</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抗乙酰胆碱受体抗体（AchR-Ab）</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89</w:t>
            </w:r>
            <w:r/>
          </w:p>
        </w:tc>
        <w:tc>
          <w:tcPr>
            <w:shd w:val="clear" w:color="auto" w:fill="auto"/>
            <w:tcBorders>
              <w:top w:val="none" w:color="000000" w:sz="4" w:space="0"/>
              <w:left w:val="none" w:color="000000" w:sz="4" w:space="0"/>
              <w:bottom w:val="single" w:color="000000" w:sz="8" w:space="0"/>
              <w:right w:val="single" w:color="000000" w:sz="8" w:space="0"/>
            </w:tcBorders>
            <w:tcW w:w="37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C1q抗体</w:t>
            </w:r>
            <w:r/>
          </w:p>
        </w:tc>
        <w:tc>
          <w:tcPr>
            <w:shd w:val="clear" w:color="auto" w:fill="auto"/>
            <w:tcBorders>
              <w:top w:val="none" w:color="000000" w:sz="4" w:space="0"/>
              <w:left w:val="none" w:color="000000" w:sz="4" w:space="0"/>
              <w:bottom w:val="single" w:color="000000" w:sz="8" w:space="0"/>
              <w:right w:val="single" w:color="000000" w:sz="8"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525"/>
        </w:trPr>
        <w:tc>
          <w:tcPr>
            <w:gridSpan w:val="4"/>
            <w:shd w:val="clear" w:color="auto" w:fill="auto"/>
            <w:tcBorders>
              <w:top w:val="none" w:color="000000" w:sz="4" w:space="0"/>
              <w:left w:val="single" w:color="000000" w:sz="8" w:space="0"/>
              <w:bottom w:val="single" w:color="000000" w:sz="8" w:space="0"/>
              <w:right w:val="single" w:color="000000" w:sz="8" w:space="0"/>
            </w:tcBorders>
            <w:tcW w:w="70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以下项目须在医院自主定价的基础上按照所报出的下浮率予以结算</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备注</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90</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肌炎抗体谱</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此90项至127项无需报单价金额。</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须在医院自主定价的基础上按照所报出的下浮率予以结算</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91</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脱髓鞘抗体</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92</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溶贫筛查</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93</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溶血全套</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94</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血管性血友病因子裂解酶（ADAMTS13）</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95</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血小板生存时间测定</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96</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尿有机酸测定</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97</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嗜酸性粒细胞阳离子蛋白（ECP）mRNA检测</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98</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抗PLA2A抗体</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99</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重症肌无力抗体谱</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100</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副瘤性神经综合征抗体谱</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101</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神经节苷脂抗体谱</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102</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MOG抗体（活细胞+CBA法）</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103</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系统性硬化症抗体谱</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104</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自身免疫性小脑共济失调</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105</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自身免疫性痫性发作套餐</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106</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抗肾小球基底膜GBM抗体</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107</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MDA5单项检查</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108</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自身免疫性自主神经病5项</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109</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自身免疫性自主神经病6项</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110</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调节性T细胞检测</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111</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感染活化检测</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112</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DC细胞亚群检测</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113</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T细胞衰老耗竭（PD-1表达）</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114</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淋巴细胞IFN-γ功能检测</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115</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T细胞亚群+调节性T细胞检测</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116</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MDSC细胞检测</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117</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EBV淋巴细胞亚群</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118</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NK细胞活性测定</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119</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可溶性CD25</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120</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淋巴细胞精细分型</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121</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CD107a</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122</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慢活、嗜血综合征相关细胞因子</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123</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造血细胞自身抗体</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124</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穿孔素</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125</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病原靶向测序（tNGS）</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126</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自身免疫性脑炎相关抗体</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127</w:t>
            </w:r>
            <w:r/>
          </w:p>
        </w:tc>
        <w:tc>
          <w:tcPr>
            <w:gridSpan w:val="2"/>
            <w:shd w:val="clear" w:color="auto" w:fill="auto"/>
            <w:tcBorders>
              <w:top w:val="none" w:color="000000" w:sz="4" w:space="0"/>
              <w:left w:val="none" w:color="000000" w:sz="4" w:space="0"/>
              <w:bottom w:val="single" w:color="000000" w:sz="8" w:space="0"/>
              <w:right w:val="single" w:color="000000" w:sz="8" w:space="0"/>
            </w:tcBorders>
            <w:tcW w:w="5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Prader-Willi综合征基因检测</w:t>
            </w:r>
            <w:r/>
          </w:p>
        </w:tc>
        <w:tc>
          <w:tcPr>
            <w:shd w:val="clear" w:color="auto" w:fill="auto"/>
            <w:tcBorders>
              <w:top w:val="none" w:color="000000" w:sz="4" w:space="0"/>
              <w:left w:val="none" w:color="000000" w:sz="4" w:space="0"/>
              <w:bottom w:val="single" w:color="000000" w:sz="8" w:space="0"/>
              <w:right w:val="single" w:color="000000" w:sz="8"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w:t>
            </w:r>
            <w:r/>
          </w:p>
        </w:tc>
        <w:tc>
          <w:tcPr>
            <w:shd w:val="clear" w:color="auto" w:fill="auto"/>
            <w:tcBorders>
              <w:top w:val="none" w:color="000000" w:sz="4" w:space="0"/>
              <w:left w:val="none" w:color="000000" w:sz="4" w:space="0"/>
              <w:bottom w:val="none" w:color="000000" w:sz="4" w:space="0"/>
              <w:right w:val="single" w:color="000000" w:sz="8" w:space="0"/>
            </w:tcBorders>
            <w:tcW w:w="1784"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433" w:type="dxa"/>
            <w:vAlign w:val="center"/>
            <w:vMerge w:val="continue"/>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bl>
    <w:p>
      <w:pPr>
        <w:pStyle w:val="952"/>
        <w:ind w:right="118" w:firstLine="0"/>
        <w:spacing w:line="360" w:lineRule="auto"/>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注：</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供应商须对全部采购内容进行报价。</w:t>
      </w:r>
      <w:r/>
    </w:p>
    <w:p>
      <w:pPr>
        <w:pStyle w:val="952"/>
        <w:ind w:right="420" w:firstLine="48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（2）第一标段内明细报价不能超清单内单项最高限价，否则超限价废标。</w:t>
      </w:r>
      <w:r/>
    </w:p>
    <w:p>
      <w:pPr>
        <w:pStyle w:val="952"/>
        <w:ind w:right="420" w:firstLine="0"/>
        <w:spacing w:line="360" w:lineRule="auto"/>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供应商（单位盖章）：</w:t>
      </w:r>
      <w:r/>
    </w:p>
    <w:p>
      <w:pPr>
        <w:pStyle w:val="952"/>
        <w:ind w:right="420" w:firstLine="0"/>
        <w:spacing w:line="360" w:lineRule="auto"/>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法定代表人或代理人（签字或盖章）：</w:t>
      </w:r>
      <w:r/>
    </w:p>
    <w:p>
      <w:pPr>
        <w:pStyle w:val="952"/>
        <w:ind w:right="420" w:firstLine="0"/>
        <w:jc w:val="both"/>
        <w:spacing w:line="360" w:lineRule="auto"/>
        <w:rPr>
          <w:rFonts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日期：     年     月     日</w:t>
      </w:r>
      <w:r>
        <w:rPr>
          <w:rFonts w:ascii="宋体" w:hAnsi="宋体" w:eastAsia="宋体" w:cs="宋体"/>
          <w:b/>
          <w:bCs/>
          <w:color w:val="000000" w:themeColor="text1"/>
          <w:sz w:val="24"/>
          <w:szCs w:val="24"/>
          <w:highlight w:val="none"/>
          <w14:textFill>
            <w14:solidFill>
              <w14:schemeClr w14:val="tx1"/>
            </w14:solidFill>
          </w14:textFill>
        </w:rPr>
        <w:br w:type="page" w:clear="all"/>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hAnsi="宋体" w:eastAsia="宋体" w:cs="宋体"/>
          <w:color w:val="000000" w:themeColor="text1"/>
          <w:sz w:val="24"/>
          <w:szCs w:val="24"/>
          <w:highlight w:val="none"/>
          <w:u w:val="single"/>
          <w14:textFill>
            <w14:solidFill>
              <w14:schemeClr w14:val="tx1"/>
            </w14:solidFill>
          </w14:textFill>
        </w:rPr>
        <w:t xml:space="preserve">          </w:t>
      </w:r>
      <w:r>
        <w:rPr>
          <w:rFonts w:hint="eastAsia" w:hAnsi="宋体" w:eastAsia="宋体" w:cs="宋体"/>
          <w:color w:val="000000" w:themeColor="text1"/>
          <w:sz w:val="24"/>
          <w:szCs w:val="24"/>
          <w:highlight w:val="none"/>
          <w14:textFill>
            <w14:solidFill>
              <w14:schemeClr w14:val="tx1"/>
            </w14:solidFill>
          </w14:textFill>
        </w:rPr>
        <w:t xml:space="preserve">项目响应报价表</w:t>
      </w:r>
      <w:r>
        <w:rPr>
          <w:rFonts w:hint="eastAsia" w:hAnsi="宋体" w:eastAsia="宋体" w:cs="宋体"/>
          <w:color w:val="000000" w:themeColor="text1"/>
          <w:sz w:val="24"/>
          <w:szCs w:val="24"/>
          <w:highlight w:val="none"/>
          <w:lang w:eastAsia="zh-CN"/>
          <w14:textFill>
            <w14:solidFill>
              <w14:schemeClr w14:val="tx1"/>
            </w14:solidFill>
          </w14:textFill>
        </w:rPr>
        <w:t xml:space="preserve">（</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第</w:t>
      </w:r>
      <w:r>
        <w:rPr>
          <w:rFonts w:hint="eastAsia" w:hAnsi="宋体" w:eastAsia="宋体" w:cs="宋体"/>
          <w:color w:val="000000" w:themeColor="text1"/>
          <w:sz w:val="24"/>
          <w:szCs w:val="24"/>
          <w:highlight w:val="none"/>
          <w:u w:val="single"/>
          <w:lang w:val="en-US" w:eastAsia="zh-CN"/>
          <w14:textFill>
            <w14:solidFill>
              <w14:schemeClr w14:val="tx1"/>
            </w14:solidFill>
          </w14:textFill>
        </w:rPr>
        <w:t xml:space="preserve"> 2 </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标段</w:t>
      </w:r>
      <w:r>
        <w:rPr>
          <w:rFonts w:hint="eastAsia" w:hAnsi="宋体" w:eastAsia="宋体" w:cs="宋体"/>
          <w:color w:val="000000" w:themeColor="text1"/>
          <w:sz w:val="24"/>
          <w:szCs w:val="24"/>
          <w:highlight w:val="none"/>
          <w:lang w:eastAsia="zh-CN"/>
          <w14:textFill>
            <w14:solidFill>
              <w14:schemeClr w14:val="tx1"/>
            </w14:solidFill>
          </w14:textFill>
        </w:rPr>
        <w:t xml:space="preserve">）</w:t>
      </w:r>
      <w:r/>
    </w:p>
    <w:tbl>
      <w:tblPr>
        <w:tblStyle w:val="950"/>
        <w:tblW w:w="10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2877"/>
        <w:gridCol w:w="564"/>
        <w:gridCol w:w="612"/>
        <w:gridCol w:w="1025"/>
        <w:gridCol w:w="1075"/>
        <w:gridCol w:w="1075"/>
        <w:gridCol w:w="2250"/>
      </w:tblGrid>
      <w:tr>
        <w:trPr>
          <w:jc w:val="center"/>
          <w:trHeight w:val="567"/>
        </w:trPr>
        <w:tc>
          <w:tcPr>
            <w:tcW w:w="706" w:type="dxa"/>
            <w:vAlign w:val="center"/>
            <w:textDirection w:val="lrTb"/>
            <w:noWrap w:val="false"/>
          </w:tcPr>
          <w:p>
            <w:pPr>
              <w:jc w:val="center"/>
              <w:spacing w:line="24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序号</w:t>
            </w:r>
            <w:r/>
          </w:p>
        </w:tc>
        <w:tc>
          <w:tcPr>
            <w:tcW w:w="2877" w:type="dxa"/>
            <w:vAlign w:val="center"/>
            <w:textDirection w:val="lrTb"/>
            <w:noWrap w:val="false"/>
          </w:tcPr>
          <w:p>
            <w:pPr>
              <w:jc w:val="center"/>
              <w:spacing w:line="24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费用条目</w:t>
            </w:r>
            <w:r/>
          </w:p>
        </w:tc>
        <w:tc>
          <w:tcPr>
            <w:tcW w:w="564" w:type="dxa"/>
            <w:vAlign w:val="center"/>
            <w:textDirection w:val="lrTb"/>
            <w:noWrap w:val="false"/>
          </w:tcPr>
          <w:p>
            <w:pPr>
              <w:jc w:val="center"/>
              <w:spacing w:line="24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单位</w:t>
            </w:r>
            <w:r/>
          </w:p>
        </w:tc>
        <w:tc>
          <w:tcPr>
            <w:tcW w:w="612" w:type="dxa"/>
            <w:vAlign w:val="center"/>
            <w:textDirection w:val="lrTb"/>
            <w:noWrap w:val="false"/>
          </w:tcPr>
          <w:p>
            <w:pPr>
              <w:jc w:val="center"/>
              <w:spacing w:line="24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数量</w:t>
            </w:r>
            <w:r/>
          </w:p>
        </w:tc>
        <w:tc>
          <w:tcPr>
            <w:shd w:val="clear" w:color="auto" w:fill="auto"/>
            <w:tcW w:w="1025" w:type="dxa"/>
            <w:vAlign w:val="center"/>
            <w:textDirection w:val="lrTb"/>
            <w:noWrap w:val="false"/>
          </w:tcPr>
          <w:p>
            <w:pPr>
              <w:jc w:val="center"/>
              <w:spacing w:line="24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单价最高限价（元）</w:t>
            </w:r>
            <w:r/>
          </w:p>
        </w:tc>
        <w:tc>
          <w:tcPr>
            <w:tcW w:w="1075"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根据单项最高限价报优惠</w:t>
            </w:r>
            <w:r>
              <w:rPr>
                <w:rFonts w:hint="eastAsia" w:ascii="宋体" w:hAnsi="宋体" w:eastAsia="宋体" w:cs="宋体"/>
                <w:color w:val="000000" w:themeColor="text1"/>
                <w:sz w:val="21"/>
                <w:szCs w:val="21"/>
                <w:highlight w:val="none"/>
                <w14:textFill>
                  <w14:solidFill>
                    <w14:schemeClr w14:val="tx1"/>
                  </w14:solidFill>
                </w14:textFill>
              </w:rPr>
              <w:t xml:space="preserve">率</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075" w:type="dxa"/>
            <w:vAlign w:val="center"/>
            <w:textDirection w:val="lrTb"/>
            <w:noWrap w:val="false"/>
          </w:tcPr>
          <w:p>
            <w:pPr>
              <w:jc w:val="center"/>
              <w:spacing w:line="240" w:lineRule="auto"/>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优惠后单价（元）</w:t>
            </w:r>
            <w:r/>
          </w:p>
        </w:tc>
        <w:tc>
          <w:tcPr>
            <w:tcW w:w="2250" w:type="dxa"/>
            <w:vAlign w:val="center"/>
            <w:textDirection w:val="lrTb"/>
            <w:noWrap w:val="false"/>
          </w:tcPr>
          <w:p>
            <w:pPr>
              <w:jc w:val="center"/>
              <w:spacing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备注</w:t>
            </w:r>
            <w:r/>
          </w:p>
          <w:p>
            <w:pPr>
              <w:jc w:val="center"/>
              <w:spacing w:line="24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（检测基因）</w:t>
            </w:r>
            <w:r/>
          </w:p>
        </w:tc>
      </w:tr>
      <w:tr>
        <w:trPr>
          <w:jc w:val="center"/>
          <w:trHeight w:val="567"/>
        </w:trPr>
        <w:tc>
          <w:tcPr>
            <w:tcW w:w="706"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shd w:val="clear" w:color="auto" w:fill="auto"/>
            <w:tcW w:w="2877" w:type="dxa"/>
            <w:vAlign w:val="center"/>
            <w:textDirection w:val="lrTb"/>
            <w:noWrap w:val="false"/>
          </w:tcPr>
          <w:p>
            <w:pPr>
              <w:pStyle w:val="952"/>
              <w:ind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panel-线粒体基因组检测</w:t>
            </w:r>
            <w:r/>
          </w:p>
        </w:tc>
        <w:tc>
          <w:tcPr>
            <w:tcW w:w="564"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612"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w:t>
            </w:r>
            <w:r/>
          </w:p>
        </w:tc>
        <w:tc>
          <w:tcPr>
            <w:shd w:val="clear" w:color="auto" w:fill="auto"/>
            <w:tcW w:w="1025" w:type="dxa"/>
            <w:vAlign w:val="center"/>
            <w:textDirection w:val="lrTb"/>
            <w:noWrap w:val="false"/>
          </w:tcPr>
          <w:p>
            <w:pPr>
              <w:jc w:val="center"/>
              <w:keepLines w:val="0"/>
              <w:keepNext w:val="0"/>
              <w:spacing w:line="24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1049</w:t>
            </w:r>
            <w:r/>
          </w:p>
        </w:tc>
        <w:tc>
          <w:tcPr>
            <w:tcW w:w="1075" w:type="dxa"/>
            <w:vAlign w:val="center"/>
            <w:vMerge w:val="restart"/>
            <w:textDirection w:val="lrTb"/>
            <w:noWrap w:val="false"/>
          </w:tcPr>
          <w:p>
            <w:pPr>
              <w:pStyle w:val="952"/>
              <w:ind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p>
            <w:pPr>
              <w:pStyle w:val="952"/>
              <w:ind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075" w:type="dxa"/>
            <w:vAlign w:val="center"/>
            <w:textDirection w:val="lrTb"/>
            <w:noWrap w:val="false"/>
          </w:tcPr>
          <w:p>
            <w:pPr>
              <w:pStyle w:val="952"/>
              <w:ind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2250" w:type="dxa"/>
            <w:vAlign w:val="center"/>
            <w:textDirection w:val="lrTb"/>
            <w:noWrap w:val="false"/>
          </w:tcPr>
          <w:p>
            <w:pPr>
              <w:pStyle w:val="952"/>
              <w:ind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GMD、OMIM、Clinvar 三大权威数据库收录的所有疾病相关基因Panel</w:t>
            </w:r>
            <w:r/>
          </w:p>
        </w:tc>
      </w:tr>
      <w:tr>
        <w:trPr>
          <w:jc w:val="center"/>
          <w:trHeight w:val="567"/>
        </w:trPr>
        <w:tc>
          <w:tcPr>
            <w:tcW w:w="706"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shd w:val="clear" w:color="auto" w:fill="auto"/>
            <w:tcW w:w="2877" w:type="dxa"/>
            <w:vAlign w:val="center"/>
            <w:textDirection w:val="lrTb"/>
            <w:noWrap w:val="false"/>
          </w:tcPr>
          <w:p>
            <w:pPr>
              <w:pStyle w:val="952"/>
              <w:ind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panel-基因panel检测</w:t>
            </w:r>
            <w:r/>
          </w:p>
        </w:tc>
        <w:tc>
          <w:tcPr>
            <w:tcW w:w="564"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612"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w:t>
            </w:r>
            <w:r/>
          </w:p>
        </w:tc>
        <w:tc>
          <w:tcPr>
            <w:shd w:val="clear" w:color="auto" w:fill="auto"/>
            <w:tcW w:w="1025" w:type="dxa"/>
            <w:vAlign w:val="center"/>
            <w:textDirection w:val="lrTb"/>
            <w:noWrap w:val="false"/>
          </w:tcPr>
          <w:p>
            <w:pPr>
              <w:jc w:val="center"/>
              <w:keepLines w:val="0"/>
              <w:keepNext w:val="0"/>
              <w:spacing w:line="240" w:lineRule="auto"/>
              <w:widowControl/>
              <w:rPr>
                <w:rFonts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1007</w:t>
            </w:r>
            <w:r/>
          </w:p>
        </w:tc>
        <w:tc>
          <w:tcPr>
            <w:tcW w:w="1075" w:type="dxa"/>
            <w:vAlign w:val="center"/>
            <w:vMerge w:val="continue"/>
            <w:textDirection w:val="lrTb"/>
            <w:noWrap w:val="false"/>
          </w:tcPr>
          <w:p>
            <w:pPr>
              <w:pStyle w:val="952"/>
              <w:ind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075" w:type="dxa"/>
            <w:vAlign w:val="center"/>
            <w:textDirection w:val="lrTb"/>
            <w:noWrap w:val="false"/>
          </w:tcPr>
          <w:p>
            <w:pPr>
              <w:pStyle w:val="952"/>
              <w:ind w:right="0" w:firstLine="0"/>
              <w:jc w:val="left"/>
              <w:keepLines w:val="0"/>
              <w:keepNext w:val="0"/>
              <w:pageBreakBefore w:val="0"/>
              <w:spacing w:line="24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2250" w:type="dxa"/>
            <w:vAlign w:val="center"/>
            <w:textDirection w:val="lrTb"/>
            <w:noWrap w:val="false"/>
          </w:tcPr>
          <w:p>
            <w:pPr>
              <w:pStyle w:val="952"/>
              <w:ind w:right="0" w:firstLine="0"/>
              <w:jc w:val="left"/>
              <w:keepLines w:val="0"/>
              <w:keepNext w:val="0"/>
              <w:pageBreakBefore w:val="0"/>
              <w:spacing w:line="24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jc w:val="center"/>
          <w:trHeight w:val="567"/>
        </w:trPr>
        <w:tc>
          <w:tcPr>
            <w:tcW w:w="706"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shd w:val="clear" w:color="auto" w:fill="auto"/>
            <w:tcW w:w="2877" w:type="dxa"/>
            <w:vAlign w:val="center"/>
            <w:textDirection w:val="lrTb"/>
            <w:noWrap w:val="false"/>
          </w:tcPr>
          <w:p>
            <w:pPr>
              <w:pStyle w:val="952"/>
              <w:ind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panel-系统疾病panel检测</w:t>
            </w:r>
            <w:r/>
          </w:p>
        </w:tc>
        <w:tc>
          <w:tcPr>
            <w:tcW w:w="564"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612"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w:t>
            </w:r>
            <w:r/>
          </w:p>
        </w:tc>
        <w:tc>
          <w:tcPr>
            <w:shd w:val="clear" w:color="auto" w:fill="auto"/>
            <w:tcW w:w="1025" w:type="dxa"/>
            <w:vAlign w:val="center"/>
            <w:textDirection w:val="lrTb"/>
            <w:noWrap w:val="false"/>
          </w:tcPr>
          <w:p>
            <w:pPr>
              <w:jc w:val="center"/>
              <w:keepLines w:val="0"/>
              <w:keepNext w:val="0"/>
              <w:spacing w:line="240" w:lineRule="auto"/>
              <w:widowControl/>
              <w:rPr>
                <w:rFonts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1487</w:t>
            </w:r>
            <w:r/>
          </w:p>
        </w:tc>
        <w:tc>
          <w:tcPr>
            <w:tcW w:w="1075" w:type="dxa"/>
            <w:vAlign w:val="center"/>
            <w:vMerge w:val="continue"/>
            <w:textDirection w:val="lrTb"/>
            <w:noWrap w:val="false"/>
          </w:tcPr>
          <w:p>
            <w:pPr>
              <w:pStyle w:val="952"/>
              <w:ind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075" w:type="dxa"/>
            <w:vAlign w:val="center"/>
            <w:textDirection w:val="lrTb"/>
            <w:noWrap w:val="false"/>
          </w:tcPr>
          <w:p>
            <w:pPr>
              <w:pStyle w:val="952"/>
              <w:ind w:right="0" w:firstLine="0"/>
              <w:jc w:val="left"/>
              <w:keepLines w:val="0"/>
              <w:keepNext w:val="0"/>
              <w:pageBreakBefore w:val="0"/>
              <w:spacing w:line="24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2250" w:type="dxa"/>
            <w:vAlign w:val="center"/>
            <w:textDirection w:val="lrTb"/>
            <w:noWrap w:val="false"/>
          </w:tcPr>
          <w:p>
            <w:pPr>
              <w:pStyle w:val="952"/>
              <w:ind w:right="0" w:firstLine="0"/>
              <w:jc w:val="left"/>
              <w:keepLines w:val="0"/>
              <w:keepNext w:val="0"/>
              <w:pageBreakBefore w:val="0"/>
              <w:spacing w:line="24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jc w:val="center"/>
          <w:trHeight w:val="567"/>
        </w:trPr>
        <w:tc>
          <w:tcPr>
            <w:tcW w:w="706" w:type="dxa"/>
            <w:vAlign w:val="center"/>
            <w:textDirection w:val="lrTb"/>
            <w:noWrap w:val="false"/>
          </w:tcPr>
          <w:p>
            <w:pPr>
              <w:pStyle w:val="952"/>
              <w:ind w:right="0" w:firstLine="0"/>
              <w:jc w:val="center"/>
              <w:keepLines w:val="0"/>
              <w:keepNext w:val="0"/>
              <w:pageBreakBefore w:val="0"/>
              <w:spacing w:line="240" w:lineRule="auto"/>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shd w:val="clear" w:color="auto" w:fill="auto"/>
            <w:tcW w:w="2877" w:type="dxa"/>
            <w:vAlign w:val="center"/>
            <w:textDirection w:val="lrTb"/>
            <w:noWrap w:val="false"/>
          </w:tcPr>
          <w:p>
            <w:pPr>
              <w:pStyle w:val="952"/>
              <w:ind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panel-糖尿病基因panel+HLA分型</w:t>
            </w:r>
            <w:r/>
          </w:p>
        </w:tc>
        <w:tc>
          <w:tcPr>
            <w:tcW w:w="564"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612"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w:t>
            </w:r>
            <w:r/>
          </w:p>
        </w:tc>
        <w:tc>
          <w:tcPr>
            <w:shd w:val="clear" w:color="auto" w:fill="auto"/>
            <w:tcW w:w="1025" w:type="dxa"/>
            <w:vAlign w:val="center"/>
            <w:textDirection w:val="lrTb"/>
            <w:noWrap w:val="false"/>
          </w:tcPr>
          <w:p>
            <w:pPr>
              <w:jc w:val="center"/>
              <w:keepLines w:val="0"/>
              <w:keepNext w:val="0"/>
              <w:spacing w:line="240" w:lineRule="auto"/>
              <w:widowControl/>
              <w:rPr>
                <w:rFonts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2660</w:t>
            </w:r>
            <w:r/>
          </w:p>
        </w:tc>
        <w:tc>
          <w:tcPr>
            <w:tcW w:w="1075" w:type="dxa"/>
            <w:vAlign w:val="center"/>
            <w:vMerge w:val="continue"/>
            <w:textDirection w:val="lrTb"/>
            <w:noWrap w:val="false"/>
          </w:tcPr>
          <w:p>
            <w:pPr>
              <w:pStyle w:val="952"/>
              <w:ind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075" w:type="dxa"/>
            <w:vAlign w:val="center"/>
            <w:textDirection w:val="lrTb"/>
            <w:noWrap w:val="false"/>
          </w:tcPr>
          <w:p>
            <w:pPr>
              <w:pStyle w:val="952"/>
              <w:ind w:right="0" w:firstLine="0"/>
              <w:jc w:val="left"/>
              <w:keepLines w:val="0"/>
              <w:keepNext w:val="0"/>
              <w:pageBreakBefore w:val="0"/>
              <w:spacing w:line="24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2250" w:type="dxa"/>
            <w:vAlign w:val="center"/>
            <w:textDirection w:val="lrTb"/>
            <w:noWrap w:val="false"/>
          </w:tcPr>
          <w:p>
            <w:pPr>
              <w:pStyle w:val="952"/>
              <w:ind w:right="0" w:firstLine="0"/>
              <w:jc w:val="left"/>
              <w:keepLines w:val="0"/>
              <w:keepNext w:val="0"/>
              <w:pageBreakBefore w:val="0"/>
              <w:spacing w:line="24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jc w:val="center"/>
          <w:trHeight w:val="567"/>
        </w:trPr>
        <w:tc>
          <w:tcPr>
            <w:tcW w:w="706"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shd w:val="clear" w:color="auto" w:fill="auto"/>
            <w:tcW w:w="2877" w:type="dxa"/>
            <w:vAlign w:val="center"/>
            <w:textDirection w:val="lrTb"/>
            <w:noWrap w:val="false"/>
          </w:tcPr>
          <w:p>
            <w:pPr>
              <w:pStyle w:val="952"/>
              <w:ind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panel-动态突变检测</w:t>
            </w:r>
            <w:r/>
          </w:p>
        </w:tc>
        <w:tc>
          <w:tcPr>
            <w:tcW w:w="564"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612"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w:t>
            </w:r>
            <w:r/>
          </w:p>
        </w:tc>
        <w:tc>
          <w:tcPr>
            <w:shd w:val="clear" w:color="auto" w:fill="auto"/>
            <w:tcW w:w="1025" w:type="dxa"/>
            <w:vAlign w:val="center"/>
            <w:textDirection w:val="lrTb"/>
            <w:noWrap w:val="false"/>
          </w:tcPr>
          <w:p>
            <w:pPr>
              <w:jc w:val="center"/>
              <w:keepLines w:val="0"/>
              <w:keepNext w:val="0"/>
              <w:spacing w:line="240" w:lineRule="auto"/>
              <w:widowControl/>
              <w:rPr>
                <w:rFonts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703</w:t>
            </w:r>
            <w:r/>
          </w:p>
        </w:tc>
        <w:tc>
          <w:tcPr>
            <w:tcW w:w="1075" w:type="dxa"/>
            <w:vAlign w:val="center"/>
            <w:vMerge w:val="continue"/>
            <w:textDirection w:val="lrTb"/>
            <w:noWrap w:val="false"/>
          </w:tcPr>
          <w:p>
            <w:pPr>
              <w:pStyle w:val="952"/>
              <w:ind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075" w:type="dxa"/>
            <w:vAlign w:val="center"/>
            <w:textDirection w:val="lrTb"/>
            <w:noWrap w:val="false"/>
          </w:tcPr>
          <w:p>
            <w:pPr>
              <w:pStyle w:val="952"/>
              <w:ind w:right="0" w:firstLine="0"/>
              <w:jc w:val="left"/>
              <w:keepLines w:val="0"/>
              <w:keepNext w:val="0"/>
              <w:pageBreakBefore w:val="0"/>
              <w:spacing w:line="24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2250" w:type="dxa"/>
            <w:vAlign w:val="center"/>
            <w:textDirection w:val="lrTb"/>
            <w:noWrap w:val="false"/>
          </w:tcPr>
          <w:p>
            <w:pPr>
              <w:pStyle w:val="952"/>
              <w:ind w:right="0" w:firstLine="0"/>
              <w:jc w:val="left"/>
              <w:keepLines w:val="0"/>
              <w:keepNext w:val="0"/>
              <w:pageBreakBefore w:val="0"/>
              <w:spacing w:line="24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jc w:val="center"/>
          <w:trHeight w:val="567"/>
        </w:trPr>
        <w:tc>
          <w:tcPr>
            <w:tcW w:w="706"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shd w:val="clear" w:color="auto" w:fill="auto"/>
            <w:tcW w:w="2877" w:type="dxa"/>
            <w:vAlign w:val="center"/>
            <w:textDirection w:val="lrTb"/>
            <w:noWrap w:val="false"/>
          </w:tcPr>
          <w:p>
            <w:pPr>
              <w:pStyle w:val="952"/>
              <w:ind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panel-MLPA检测</w:t>
            </w:r>
            <w:r/>
          </w:p>
        </w:tc>
        <w:tc>
          <w:tcPr>
            <w:tcW w:w="564"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612"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w:t>
            </w:r>
            <w:r/>
          </w:p>
        </w:tc>
        <w:tc>
          <w:tcPr>
            <w:shd w:val="clear" w:color="auto" w:fill="auto"/>
            <w:tcW w:w="1025" w:type="dxa"/>
            <w:vAlign w:val="center"/>
            <w:textDirection w:val="lrTb"/>
            <w:noWrap w:val="false"/>
          </w:tcPr>
          <w:p>
            <w:pPr>
              <w:jc w:val="center"/>
              <w:keepLines w:val="0"/>
              <w:keepNext w:val="0"/>
              <w:spacing w:line="240" w:lineRule="auto"/>
              <w:widowControl/>
              <w:rPr>
                <w:rFonts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682</w:t>
            </w:r>
            <w:r/>
          </w:p>
        </w:tc>
        <w:tc>
          <w:tcPr>
            <w:tcW w:w="1075" w:type="dxa"/>
            <w:vAlign w:val="center"/>
            <w:vMerge w:val="continue"/>
            <w:textDirection w:val="lrTb"/>
            <w:noWrap w:val="false"/>
          </w:tcPr>
          <w:p>
            <w:pPr>
              <w:pStyle w:val="952"/>
              <w:ind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075" w:type="dxa"/>
            <w:vAlign w:val="center"/>
            <w:textDirection w:val="lrTb"/>
            <w:noWrap w:val="false"/>
          </w:tcPr>
          <w:p>
            <w:pPr>
              <w:pStyle w:val="952"/>
              <w:ind w:right="0" w:firstLine="0"/>
              <w:jc w:val="left"/>
              <w:keepLines w:val="0"/>
              <w:keepNext w:val="0"/>
              <w:pageBreakBefore w:val="0"/>
              <w:spacing w:line="24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2250" w:type="dxa"/>
            <w:vAlign w:val="center"/>
            <w:textDirection w:val="lrTb"/>
            <w:noWrap w:val="false"/>
          </w:tcPr>
          <w:p>
            <w:pPr>
              <w:pStyle w:val="952"/>
              <w:ind w:right="0" w:firstLine="0"/>
              <w:jc w:val="left"/>
              <w:keepLines w:val="0"/>
              <w:keepNext w:val="0"/>
              <w:pageBreakBefore w:val="0"/>
              <w:spacing w:line="24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jc w:val="center"/>
          <w:trHeight w:val="567"/>
        </w:trPr>
        <w:tc>
          <w:tcPr>
            <w:tcW w:w="706"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shd w:val="clear" w:color="auto" w:fill="auto"/>
            <w:tcW w:w="2877" w:type="dxa"/>
            <w:vAlign w:val="center"/>
            <w:textDirection w:val="lrTb"/>
            <w:noWrap w:val="false"/>
          </w:tcPr>
          <w:p>
            <w:pPr>
              <w:pStyle w:val="952"/>
              <w:ind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panel-单基因变异位点检测</w:t>
            </w:r>
            <w:r/>
          </w:p>
        </w:tc>
        <w:tc>
          <w:tcPr>
            <w:tcW w:w="564"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612"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w:t>
            </w:r>
            <w:r/>
          </w:p>
        </w:tc>
        <w:tc>
          <w:tcPr>
            <w:shd w:val="clear" w:color="auto" w:fill="auto"/>
            <w:tcW w:w="1025" w:type="dxa"/>
            <w:vAlign w:val="center"/>
            <w:textDirection w:val="lrTb"/>
            <w:noWrap w:val="false"/>
          </w:tcPr>
          <w:p>
            <w:pPr>
              <w:jc w:val="center"/>
              <w:keepLines w:val="0"/>
              <w:keepNext w:val="0"/>
              <w:spacing w:line="240" w:lineRule="auto"/>
              <w:widowControl/>
              <w:rPr>
                <w:rFonts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190</w:t>
            </w:r>
            <w:r/>
          </w:p>
        </w:tc>
        <w:tc>
          <w:tcPr>
            <w:tcW w:w="1075" w:type="dxa"/>
            <w:vAlign w:val="center"/>
            <w:vMerge w:val="continue"/>
            <w:textDirection w:val="lrTb"/>
            <w:noWrap w:val="false"/>
          </w:tcPr>
          <w:p>
            <w:pPr>
              <w:pStyle w:val="952"/>
              <w:ind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075" w:type="dxa"/>
            <w:vAlign w:val="center"/>
            <w:textDirection w:val="lrTb"/>
            <w:noWrap w:val="false"/>
          </w:tcPr>
          <w:p>
            <w:pPr>
              <w:pStyle w:val="952"/>
              <w:ind w:right="0" w:firstLine="0"/>
              <w:jc w:val="left"/>
              <w:keepLines w:val="0"/>
              <w:keepNext w:val="0"/>
              <w:pageBreakBefore w:val="0"/>
              <w:spacing w:line="24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2250" w:type="dxa"/>
            <w:vAlign w:val="center"/>
            <w:textDirection w:val="lrTb"/>
            <w:noWrap w:val="false"/>
          </w:tcPr>
          <w:p>
            <w:pPr>
              <w:pStyle w:val="952"/>
              <w:ind w:right="0" w:firstLine="0"/>
              <w:jc w:val="left"/>
              <w:keepLines w:val="0"/>
              <w:keepNext w:val="0"/>
              <w:pageBreakBefore w:val="0"/>
              <w:spacing w:line="24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jc w:val="center"/>
          <w:trHeight w:val="567"/>
        </w:trPr>
        <w:tc>
          <w:tcPr>
            <w:tcW w:w="706"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p>
        </w:tc>
        <w:tc>
          <w:tcPr>
            <w:shd w:val="clear" w:color="auto" w:fill="auto"/>
            <w:tcW w:w="2877" w:type="dxa"/>
            <w:vAlign w:val="center"/>
            <w:textDirection w:val="lrTb"/>
            <w:noWrap w:val="false"/>
          </w:tcPr>
          <w:p>
            <w:pPr>
              <w:pStyle w:val="952"/>
              <w:ind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panel-其他</w:t>
            </w:r>
            <w:r/>
          </w:p>
        </w:tc>
        <w:tc>
          <w:tcPr>
            <w:tcW w:w="564"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612"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w:t>
            </w:r>
            <w:r/>
          </w:p>
        </w:tc>
        <w:tc>
          <w:tcPr>
            <w:shd w:val="clear" w:color="auto" w:fill="auto"/>
            <w:tcW w:w="1025" w:type="dxa"/>
            <w:vAlign w:val="center"/>
            <w:textDirection w:val="lrTb"/>
            <w:noWrap w:val="false"/>
          </w:tcPr>
          <w:p>
            <w:pPr>
              <w:jc w:val="center"/>
              <w:keepLines w:val="0"/>
              <w:keepNext w:val="0"/>
              <w:spacing w:line="240" w:lineRule="auto"/>
              <w:widowControl/>
              <w:rPr>
                <w:rFonts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1007</w:t>
            </w:r>
            <w:r/>
          </w:p>
        </w:tc>
        <w:tc>
          <w:tcPr>
            <w:tcW w:w="1075" w:type="dxa"/>
            <w:vAlign w:val="center"/>
            <w:vMerge w:val="continue"/>
            <w:textDirection w:val="lrTb"/>
            <w:noWrap w:val="false"/>
          </w:tcPr>
          <w:p>
            <w:pPr>
              <w:pStyle w:val="952"/>
              <w:ind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075" w:type="dxa"/>
            <w:vAlign w:val="center"/>
            <w:textDirection w:val="lrTb"/>
            <w:noWrap w:val="false"/>
          </w:tcPr>
          <w:p>
            <w:pPr>
              <w:pStyle w:val="952"/>
              <w:ind w:right="0" w:firstLine="0"/>
              <w:jc w:val="left"/>
              <w:keepLines w:val="0"/>
              <w:keepNext w:val="0"/>
              <w:pageBreakBefore w:val="0"/>
              <w:spacing w:line="24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2250" w:type="dxa"/>
            <w:vAlign w:val="center"/>
            <w:textDirection w:val="lrTb"/>
            <w:noWrap w:val="false"/>
          </w:tcPr>
          <w:p>
            <w:pPr>
              <w:pStyle w:val="952"/>
              <w:ind w:right="0" w:firstLine="0"/>
              <w:jc w:val="left"/>
              <w:keepLines w:val="0"/>
              <w:keepNext w:val="0"/>
              <w:pageBreakBefore w:val="0"/>
              <w:spacing w:line="24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jc w:val="center"/>
          <w:trHeight w:val="567"/>
        </w:trPr>
        <w:tc>
          <w:tcPr>
            <w:tcW w:w="706"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p>
        </w:tc>
        <w:tc>
          <w:tcPr>
            <w:shd w:val="clear" w:color="auto" w:fill="auto"/>
            <w:tcW w:w="2877" w:type="dxa"/>
            <w:vAlign w:val="center"/>
            <w:textDirection w:val="lrTb"/>
            <w:noWrap w:val="false"/>
          </w:tcPr>
          <w:p>
            <w:pPr>
              <w:pStyle w:val="952"/>
              <w:ind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家族性高胆固醇血症基因筛查</w:t>
            </w:r>
            <w:r/>
          </w:p>
        </w:tc>
        <w:tc>
          <w:tcPr>
            <w:shd w:val="clear" w:color="auto" w:fill="auto"/>
            <w:tcW w:w="564"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shd w:val="clear" w:color="auto" w:fill="auto"/>
            <w:tcW w:w="612"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w:t>
            </w:r>
            <w:r/>
          </w:p>
        </w:tc>
        <w:tc>
          <w:tcPr>
            <w:shd w:val="clear" w:color="auto" w:fill="auto"/>
            <w:tcW w:w="1025" w:type="dxa"/>
            <w:vAlign w:val="center"/>
            <w:textDirection w:val="lrTb"/>
            <w:noWrap w:val="false"/>
          </w:tcPr>
          <w:p>
            <w:pPr>
              <w:jc w:val="center"/>
              <w:keepLines w:val="0"/>
              <w:keepNext w:val="0"/>
              <w:spacing w:line="240" w:lineRule="auto"/>
              <w:widowControl/>
              <w:rPr>
                <w:rFonts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650</w:t>
            </w:r>
            <w:r/>
          </w:p>
        </w:tc>
        <w:tc>
          <w:tcPr>
            <w:shd w:val="clear" w:color="auto" w:fill="auto"/>
            <w:tcW w:w="1075" w:type="dxa"/>
            <w:vAlign w:val="center"/>
            <w:vMerge w:val="continue"/>
            <w:textDirection w:val="lrTb"/>
            <w:noWrap w:val="false"/>
          </w:tcPr>
          <w:p>
            <w:pPr>
              <w:pStyle w:val="952"/>
              <w:ind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W w:w="1075" w:type="dxa"/>
            <w:vAlign w:val="center"/>
            <w:textDirection w:val="lrTb"/>
            <w:noWrap w:val="false"/>
          </w:tcPr>
          <w:p>
            <w:pPr>
              <w:pStyle w:val="952"/>
              <w:ind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2250" w:type="dxa"/>
            <w:vAlign w:val="center"/>
            <w:textDirection w:val="lrTb"/>
            <w:noWrap w:val="false"/>
          </w:tcPr>
          <w:p>
            <w:pPr>
              <w:pStyle w:val="952"/>
              <w:ind w:right="0" w:firstLine="0"/>
              <w:jc w:val="left"/>
              <w:keepLines w:val="0"/>
              <w:keepNext w:val="0"/>
              <w:pageBreakBefore w:val="0"/>
              <w:spacing w:line="240" w:lineRule="auto"/>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4个致病基因870个位点；指导用药2个基因4个SNP位点</w:t>
            </w:r>
            <w:r/>
          </w:p>
        </w:tc>
      </w:tr>
      <w:tr>
        <w:trPr>
          <w:jc w:val="center"/>
          <w:trHeight w:val="567"/>
        </w:trPr>
        <w:tc>
          <w:tcPr>
            <w:tcW w:w="706" w:type="dxa"/>
            <w:vAlign w:val="center"/>
            <w:textDirection w:val="lrTb"/>
            <w:noWrap w:val="false"/>
          </w:tcPr>
          <w:p>
            <w:pPr>
              <w:pStyle w:val="952"/>
              <w:ind w:right="0" w:firstLine="0"/>
              <w:jc w:val="center"/>
              <w:keepLines w:val="0"/>
              <w:keepNext w:val="0"/>
              <w:pageBreakBefore w:val="0"/>
              <w:spacing w:line="240" w:lineRule="auto"/>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shd w:val="clear" w:color="auto" w:fill="auto"/>
            <w:tcW w:w="2877" w:type="dxa"/>
            <w:vAlign w:val="center"/>
            <w:textDirection w:val="lrTb"/>
            <w:noWrap w:val="false"/>
          </w:tcPr>
          <w:p>
            <w:pPr>
              <w:pStyle w:val="952"/>
              <w:ind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全基因组（先证者）</w:t>
            </w:r>
            <w:r/>
          </w:p>
        </w:tc>
        <w:tc>
          <w:tcPr>
            <w:shd w:val="clear" w:color="auto" w:fill="auto"/>
            <w:tcW w:w="564"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shd w:val="clear" w:color="auto" w:fill="auto"/>
            <w:tcW w:w="612"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w:t>
            </w:r>
            <w:r/>
          </w:p>
        </w:tc>
        <w:tc>
          <w:tcPr>
            <w:shd w:val="clear" w:color="auto" w:fill="auto"/>
            <w:tcW w:w="1025" w:type="dxa"/>
            <w:vAlign w:val="center"/>
            <w:textDirection w:val="lrTb"/>
            <w:noWrap w:val="false"/>
          </w:tcPr>
          <w:p>
            <w:pPr>
              <w:jc w:val="center"/>
              <w:keepLines w:val="0"/>
              <w:keepNext w:val="0"/>
              <w:spacing w:line="240" w:lineRule="auto"/>
              <w:widowControl/>
              <w:rPr>
                <w:rFonts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4300</w:t>
            </w:r>
            <w:r/>
          </w:p>
        </w:tc>
        <w:tc>
          <w:tcPr>
            <w:tcW w:w="1075" w:type="dxa"/>
            <w:vAlign w:val="center"/>
            <w:vMerge w:val="continue"/>
            <w:textDirection w:val="lrTb"/>
            <w:noWrap w:val="false"/>
          </w:tcPr>
          <w:p>
            <w:pPr>
              <w:pStyle w:val="952"/>
              <w:ind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W w:w="1075" w:type="dxa"/>
            <w:vAlign w:val="center"/>
            <w:textDirection w:val="lrTb"/>
            <w:noWrap w:val="false"/>
          </w:tcPr>
          <w:p>
            <w:pPr>
              <w:pStyle w:val="952"/>
              <w:ind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2250" w:type="dxa"/>
            <w:vAlign w:val="center"/>
            <w:textDirection w:val="lrTb"/>
            <w:noWrap w:val="false"/>
          </w:tcPr>
          <w:p>
            <w:pPr>
              <w:pStyle w:val="952"/>
              <w:ind w:right="0" w:firstLine="0"/>
              <w:jc w:val="left"/>
              <w:keepLines w:val="0"/>
              <w:keepNext w:val="0"/>
              <w:pageBreakBefore w:val="0"/>
              <w:spacing w:line="240" w:lineRule="auto"/>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人类两万个基因的全部序列(WGS)</w:t>
            </w:r>
            <w:r/>
          </w:p>
        </w:tc>
      </w:tr>
      <w:tr>
        <w:trPr>
          <w:jc w:val="center"/>
          <w:trHeight w:val="567"/>
        </w:trPr>
        <w:tc>
          <w:tcPr>
            <w:tcW w:w="706" w:type="dxa"/>
            <w:vAlign w:val="center"/>
            <w:textDirection w:val="lrTb"/>
            <w:noWrap w:val="false"/>
          </w:tcPr>
          <w:p>
            <w:pPr>
              <w:pStyle w:val="952"/>
              <w:ind w:right="0" w:firstLine="0"/>
              <w:jc w:val="center"/>
              <w:keepLines w:val="0"/>
              <w:keepNext w:val="0"/>
              <w:pageBreakBefore w:val="0"/>
              <w:spacing w:line="240" w:lineRule="auto"/>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p>
        </w:tc>
        <w:tc>
          <w:tcPr>
            <w:shd w:val="clear" w:color="auto" w:fill="auto"/>
            <w:tcW w:w="2877" w:type="dxa"/>
            <w:vAlign w:val="center"/>
            <w:textDirection w:val="lrTb"/>
            <w:noWrap w:val="false"/>
          </w:tcPr>
          <w:p>
            <w:pPr>
              <w:pStyle w:val="952"/>
              <w:ind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全基因组（一家三口）</w:t>
            </w:r>
            <w:r/>
          </w:p>
        </w:tc>
        <w:tc>
          <w:tcPr>
            <w:shd w:val="clear" w:color="auto" w:fill="auto"/>
            <w:tcW w:w="564"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shd w:val="clear" w:color="auto" w:fill="auto"/>
            <w:tcW w:w="612"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w:t>
            </w:r>
            <w:r/>
          </w:p>
        </w:tc>
        <w:tc>
          <w:tcPr>
            <w:shd w:val="clear" w:color="auto" w:fill="auto"/>
            <w:tcW w:w="1025" w:type="dxa"/>
            <w:vAlign w:val="center"/>
            <w:textDirection w:val="lrTb"/>
            <w:noWrap w:val="false"/>
          </w:tcPr>
          <w:p>
            <w:pPr>
              <w:jc w:val="center"/>
              <w:keepLines w:val="0"/>
              <w:keepNext w:val="0"/>
              <w:spacing w:line="240" w:lineRule="auto"/>
              <w:widowControl/>
              <w:rPr>
                <w:rFonts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12000</w:t>
            </w:r>
            <w:r/>
          </w:p>
        </w:tc>
        <w:tc>
          <w:tcPr>
            <w:tcW w:w="1075" w:type="dxa"/>
            <w:vAlign w:val="center"/>
            <w:vMerge w:val="continue"/>
            <w:textDirection w:val="lrTb"/>
            <w:noWrap w:val="false"/>
          </w:tcPr>
          <w:p>
            <w:pPr>
              <w:pStyle w:val="952"/>
              <w:ind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W w:w="1075" w:type="dxa"/>
            <w:vAlign w:val="center"/>
            <w:textDirection w:val="lrTb"/>
            <w:noWrap w:val="false"/>
          </w:tcPr>
          <w:p>
            <w:pPr>
              <w:pStyle w:val="952"/>
              <w:ind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2250" w:type="dxa"/>
            <w:vAlign w:val="center"/>
            <w:textDirection w:val="lrTb"/>
            <w:noWrap w:val="false"/>
          </w:tcPr>
          <w:p>
            <w:pPr>
              <w:pStyle w:val="952"/>
              <w:ind w:right="0" w:firstLine="0"/>
              <w:jc w:val="left"/>
              <w:keepLines w:val="0"/>
              <w:keepNext w:val="0"/>
              <w:pageBreakBefore w:val="0"/>
              <w:spacing w:line="240" w:lineRule="auto"/>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tc>
      </w:tr>
      <w:tr>
        <w:trPr>
          <w:jc w:val="center"/>
          <w:trHeight w:val="567"/>
        </w:trPr>
        <w:tc>
          <w:tcPr>
            <w:tcW w:w="706" w:type="dxa"/>
            <w:vAlign w:val="center"/>
            <w:textDirection w:val="lrTb"/>
            <w:noWrap w:val="false"/>
          </w:tcPr>
          <w:p>
            <w:pPr>
              <w:pStyle w:val="952"/>
              <w:ind w:right="0" w:firstLine="0"/>
              <w:jc w:val="center"/>
              <w:keepLines w:val="0"/>
              <w:keepNext w:val="0"/>
              <w:pageBreakBefore w:val="0"/>
              <w:spacing w:line="240" w:lineRule="auto"/>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w:t>
            </w:r>
            <w:r/>
          </w:p>
        </w:tc>
        <w:tc>
          <w:tcPr>
            <w:shd w:val="clear" w:color="auto" w:fill="auto"/>
            <w:tcW w:w="287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全基因组（一家四口）</w:t>
            </w:r>
            <w:r/>
          </w:p>
        </w:tc>
        <w:tc>
          <w:tcPr>
            <w:shd w:val="clear" w:color="auto" w:fill="auto"/>
            <w:tcW w:w="564"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shd w:val="clear" w:color="auto" w:fill="auto"/>
            <w:tcW w:w="612" w:type="dxa"/>
            <w:vAlign w:val="center"/>
            <w:textDirection w:val="lrTb"/>
            <w:noWrap w:val="false"/>
          </w:tcPr>
          <w:p>
            <w:pPr>
              <w:pStyle w:val="952"/>
              <w:ind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w:t>
            </w:r>
            <w:r/>
          </w:p>
        </w:tc>
        <w:tc>
          <w:tcPr>
            <w:shd w:val="clear" w:color="auto" w:fill="auto"/>
            <w:tcW w:w="1025" w:type="dxa"/>
            <w:vAlign w:val="center"/>
            <w:textDirection w:val="lrTb"/>
            <w:noWrap w:val="false"/>
          </w:tcPr>
          <w:p>
            <w:pPr>
              <w:jc w:val="center"/>
              <w:keepLines w:val="0"/>
              <w:keepNext w:val="0"/>
              <w:spacing w:line="240" w:lineRule="auto"/>
              <w:widowControl/>
              <w:rPr>
                <w:rFonts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15000</w:t>
            </w:r>
            <w:r/>
          </w:p>
        </w:tc>
        <w:tc>
          <w:tcPr>
            <w:tcW w:w="1075" w:type="dxa"/>
            <w:vAlign w:val="center"/>
            <w:vMerge w:val="continue"/>
            <w:textDirection w:val="lrTb"/>
            <w:noWrap w:val="false"/>
          </w:tcPr>
          <w:p>
            <w:pPr>
              <w:pStyle w:val="952"/>
              <w:ind w:right="0" w:firstLine="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W w:w="1075" w:type="dxa"/>
            <w:vAlign w:val="center"/>
            <w:textDirection w:val="lrTb"/>
            <w:noWrap w:val="false"/>
          </w:tcPr>
          <w:p>
            <w:pPr>
              <w:pStyle w:val="952"/>
              <w:ind w:right="0" w:firstLine="0"/>
              <w:jc w:val="left"/>
              <w:keepLines w:val="0"/>
              <w:keepNext w:val="0"/>
              <w:pageBreakBefore w:val="0"/>
              <w:spacing w:line="240" w:lineRule="auto"/>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2250" w:type="dxa"/>
            <w:vAlign w:val="center"/>
            <w:textDirection w:val="lrTb"/>
            <w:noWrap w:val="false"/>
          </w:tcPr>
          <w:p>
            <w:pPr>
              <w:pStyle w:val="952"/>
              <w:ind w:right="0" w:firstLine="0"/>
              <w:jc w:val="left"/>
              <w:keepLines w:val="0"/>
              <w:keepNext w:val="0"/>
              <w:pageBreakBefore w:val="0"/>
              <w:spacing w:line="240" w:lineRule="auto"/>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tc>
      </w:tr>
    </w:tbl>
    <w:p>
      <w:pPr>
        <w:pStyle w:val="952"/>
        <w:ind w:right="118" w:firstLine="0"/>
        <w:spacing w:line="360" w:lineRule="auto"/>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注：</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供应商须对全部采购内容进行报价。</w:t>
      </w:r>
      <w:r/>
    </w:p>
    <w:p>
      <w:pPr>
        <w:pStyle w:val="952"/>
        <w:ind w:right="420" w:firstLine="480"/>
        <w:spacing w:line="360" w:lineRule="auto"/>
        <w:rPr>
          <w:rFonts w:hint="default" w:ascii="宋体" w:hAnsi="宋体" w:eastAsia="宋体" w:cs="宋体"/>
          <w:color w:val="000000" w:themeColor="text1"/>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（2）第二标段内明细报价不能超清单内单项最高限价，否则超限价废标。</w:t>
      </w:r>
      <w:r/>
    </w:p>
    <w:p>
      <w:pPr>
        <w:pStyle w:val="952"/>
        <w:ind w:right="420" w:firstLine="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52"/>
        <w:ind w:right="420" w:firstLine="0"/>
        <w:spacing w:line="360" w:lineRule="auto"/>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供应商（单位盖章）：</w:t>
      </w:r>
      <w:r/>
    </w:p>
    <w:p>
      <w:pPr>
        <w:pStyle w:val="952"/>
        <w:ind w:right="420" w:firstLine="0"/>
        <w:spacing w:line="360" w:lineRule="auto"/>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法定代表人或代理人（签字或盖章）：</w:t>
      </w:r>
      <w:r/>
    </w:p>
    <w:p>
      <w:pPr>
        <w:pStyle w:val="952"/>
        <w:ind w:right="420" w:firstLine="0"/>
        <w:spacing w:line="360" w:lineRule="auto"/>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日期：     年     月     日</w:t>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br w:type="page" w:clear="all"/>
      </w:r>
      <w:r/>
    </w:p>
    <w:p>
      <w:pPr>
        <w:spacing w:line="360" w:lineRule="auto"/>
        <w:rPr>
          <w:rFonts w:ascii="宋体" w:hAnsi="宋体" w:eastAsia="宋体" w:cs="宋体"/>
          <w:b/>
          <w:color w:val="000000" w:themeColor="text1"/>
          <w:sz w:val="24"/>
          <w:szCs w:val="24"/>
          <w:highlight w:val="none"/>
          <w:lang w:val="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w:t>
      </w:r>
      <w:r>
        <w:rPr>
          <w:rFonts w:hint="eastAsia" w:ascii="宋体" w:hAnsi="宋体" w:eastAsia="宋体" w:cs="宋体"/>
          <w:b/>
          <w:color w:val="000000" w:themeColor="text1"/>
          <w:sz w:val="24"/>
          <w:szCs w:val="24"/>
          <w:highlight w:val="none"/>
          <w:lang w:val="zh-CN"/>
          <w14:textFill>
            <w14:solidFill>
              <w14:schemeClr w14:val="tx1"/>
            </w14:solidFill>
          </w14:textFill>
        </w:rPr>
        <w:t xml:space="preserve">、中小企业声明函</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苏州正杰招投标咨询服务有限公司</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p>
    <w:p>
      <w:pPr>
        <w:ind w:firstLine="480"/>
        <w:spacing w:line="360" w:lineRule="auto"/>
        <w:rPr>
          <w:rFonts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（单位名称）</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（项目名称）</w:t>
      </w:r>
      <w:r>
        <w:rPr>
          <w:rFonts w:hint="eastAsia" w:ascii="宋体" w:hAnsi="宋体" w:eastAsia="宋体" w:cs="宋体"/>
          <w:color w:val="000000" w:themeColor="text1"/>
          <w:sz w:val="24"/>
          <w:szCs w:val="24"/>
          <w:highlight w:val="none"/>
          <w:lang w:val="zh-CN"/>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（标的名称）</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（招标文件中明确的所属行业）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；承建（承接）企业为</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（企业名称）</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，从业人员</w:t>
      </w:r>
      <w:r>
        <w:rPr>
          <w:rFonts w:hint="eastAsia" w:ascii="宋体" w:hAnsi="宋体" w:eastAsia="宋体" w:cs="宋体"/>
          <w:color w:val="000000" w:themeColor="text1"/>
          <w:sz w:val="24"/>
          <w:szCs w:val="24"/>
          <w:highlight w:val="none"/>
          <w14:textFill>
            <w14:solidFill>
              <w14:schemeClr w14:val="tx1"/>
            </w14:solidFill>
          </w14:textFill>
        </w:rPr>
        <w:t xml:space="preserve">________</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14:textFill>
            <w14:solidFill>
              <w14:schemeClr w14:val="tx1"/>
            </w14:solidFill>
          </w14:textFill>
        </w:rPr>
        <w:t xml:space="preserve">________</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14:textFill>
            <w14:solidFill>
              <w14:schemeClr w14:val="tx1"/>
            </w14:solidFill>
          </w14:textFill>
        </w:rPr>
        <w:t xml:space="preserve">________</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（中型企业、小型企业、微型企业）</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p>
    <w:p>
      <w:pPr>
        <w:ind w:firstLine="480"/>
        <w:spacing w:line="360" w:lineRule="auto"/>
        <w:rPr>
          <w:rFonts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（标的名称）</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；承建（承接）企业为</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（企业名称）</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，从业人员</w:t>
      </w:r>
      <w:r>
        <w:rPr>
          <w:rFonts w:hint="eastAsia" w:ascii="宋体" w:hAnsi="宋体" w:eastAsia="宋体" w:cs="宋体"/>
          <w:color w:val="000000" w:themeColor="text1"/>
          <w:sz w:val="24"/>
          <w:szCs w:val="24"/>
          <w:highlight w:val="none"/>
          <w14:textFill>
            <w14:solidFill>
              <w14:schemeClr w14:val="tx1"/>
            </w14:solidFill>
          </w14:textFill>
        </w:rPr>
        <w:t xml:space="preserve">________</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14:textFill>
            <w14:solidFill>
              <w14:schemeClr w14:val="tx1"/>
            </w14:solidFill>
          </w14:textFill>
        </w:rPr>
        <w:t xml:space="preserve">________</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14:textFill>
            <w14:solidFill>
              <w14:schemeClr w14:val="tx1"/>
            </w14:solidFill>
          </w14:textFill>
        </w:rPr>
        <w:t xml:space="preserve">________</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（中型企业、小型企业、微型企业）</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p>
    <w:p>
      <w:pPr>
        <w:ind w:firstLine="720"/>
        <w:spacing w:line="360" w:lineRule="auto"/>
        <w:rPr>
          <w:rFonts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p>
    <w:p>
      <w:pPr>
        <w:ind w:firstLine="720"/>
        <w:spacing w:line="360" w:lineRule="auto"/>
        <w:rPr>
          <w:rFonts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720"/>
        <w:spacing w:line="360" w:lineRule="auto"/>
        <w:rPr>
          <w:rFonts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本企业对上述声明内容的真实性负责。如有虚假，将依法承担相应责任。</w:t>
      </w:r>
      <w:r/>
    </w:p>
    <w:p>
      <w:pPr>
        <w:ind w:firstLine="4920"/>
        <w:spacing w:line="360" w:lineRule="auto"/>
        <w:rPr>
          <w:rFonts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企业名称（盖章）：</w:t>
      </w:r>
      <w:r/>
    </w:p>
    <w:p>
      <w:pPr>
        <w:ind w:firstLine="492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日期：</w:t>
      </w:r>
      <w:r/>
    </w:p>
    <w:p>
      <w:pPr>
        <w:ind w:firstLine="482"/>
        <w:jc w:val="left"/>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备注：</w:t>
      </w:r>
      <w:r/>
    </w:p>
    <w:p>
      <w:pPr>
        <w:ind w:firstLine="480"/>
        <w:spacing w:line="360" w:lineRule="auto"/>
        <w:rPr>
          <w:rFonts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从业人员、营业收入、资产总额填报上一年度数据，无上一年度数据的新成立企业可不填报。</w:t>
      </w:r>
      <w:r/>
    </w:p>
    <w:p>
      <w:pPr>
        <w:ind w:firstLine="480"/>
        <w:spacing w:line="360" w:lineRule="auto"/>
        <w:rPr>
          <w:rFonts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若供应商未在此函中对（中型企业、小型企业、微型企业）明确选择，视为非中小企业，不享受中小企业扶持政策。</w:t>
      </w:r>
      <w:r/>
    </w:p>
    <w:p>
      <w:pPr>
        <w:ind w:firstLine="480"/>
        <w:spacing w:line="360" w:lineRule="auto"/>
        <w:rPr>
          <w:rFonts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若供应商提供的“中小企业声明函”内容不实的，属于提供虚假材料谋取中标、成交，依照《中华人民共和国政府采购法》等国家有关规定追究相应责任。</w:t>
      </w:r>
      <w:r/>
    </w:p>
    <w:p>
      <w:pPr>
        <w:ind w:firstLine="480"/>
        <w:spacing w:line="360" w:lineRule="auto"/>
        <w:rPr>
          <w:rFonts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5、成交供应商为中小企业的，《中小企业声明函》将随成交结果同时公告。</w:t>
      </w:r>
      <w:r>
        <w:rPr>
          <w:rFonts w:hint="eastAsia" w:ascii="宋体" w:hAnsi="宋体" w:eastAsia="宋体" w:cs="宋体"/>
          <w:color w:val="000000" w:themeColor="text1"/>
          <w:sz w:val="24"/>
          <w:szCs w:val="24"/>
          <w:highlight w:val="none"/>
          <w14:textFill>
            <w14:solidFill>
              <w14:schemeClr w14:val="tx1"/>
            </w14:solidFill>
          </w14:textFill>
        </w:rPr>
        <w:br w:type="page" w:clear="all"/>
      </w:r>
      <w:r>
        <w:rPr>
          <w:rFonts w:hint="eastAsia" w:ascii="宋体" w:hAnsi="宋体" w:eastAsia="宋体" w:cs="宋体"/>
          <w:b/>
          <w:color w:val="000000" w:themeColor="text1"/>
          <w:sz w:val="24"/>
          <w:szCs w:val="24"/>
          <w:highlight w:val="none"/>
          <w14:textFill>
            <w14:solidFill>
              <w14:schemeClr w14:val="tx1"/>
            </w14:solidFill>
          </w14:textFill>
        </w:rPr>
        <w:t xml:space="preserve">附：中小企业划型标准规定</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2"/>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（一）农、林、牧、渔业。</w:t>
      </w:r>
      <w:r>
        <w:rPr>
          <w:rFonts w:hint="eastAsia" w:ascii="宋体" w:hAnsi="宋体" w:eastAsia="宋体" w:cs="宋体"/>
          <w:color w:val="000000" w:themeColor="text1"/>
          <w:sz w:val="24"/>
          <w:szCs w:val="24"/>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（二）工业。</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（三）建筑业。</w:t>
      </w:r>
      <w:r>
        <w:rPr>
          <w:rFonts w:hint="eastAsia" w:ascii="宋体" w:hAnsi="宋体" w:eastAsia="宋体" w:cs="宋体"/>
          <w:color w:val="000000" w:themeColor="text1"/>
          <w:sz w:val="24"/>
          <w:szCs w:val="24"/>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（四）批发业。</w:t>
      </w:r>
      <w:r>
        <w:rPr>
          <w:rFonts w:hint="eastAsia" w:ascii="宋体" w:hAnsi="宋体" w:eastAsia="宋体" w:cs="宋体"/>
          <w:color w:val="000000" w:themeColor="text1"/>
          <w:sz w:val="24"/>
          <w:szCs w:val="24"/>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（五）零售业。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（六）交通运输业。</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（七）仓储业。</w:t>
      </w:r>
      <w:r>
        <w:rPr>
          <w:rFonts w:hint="eastAsia" w:ascii="宋体" w:hAnsi="宋体" w:eastAsia="宋体" w:cs="宋体"/>
          <w:color w:val="000000" w:themeColor="text1"/>
          <w:sz w:val="24"/>
          <w:szCs w:val="24"/>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（八）邮政业。</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（九）住宿业。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（十）餐饮业。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（十一）信息传输业。</w:t>
      </w:r>
      <w:r>
        <w:rPr>
          <w:rFonts w:hint="eastAsia" w:ascii="宋体" w:hAnsi="宋体" w:eastAsia="宋体" w:cs="宋体"/>
          <w:color w:val="000000" w:themeColor="text1"/>
          <w:sz w:val="24"/>
          <w:szCs w:val="24"/>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（十二）软件和信息技术服务业。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（十三）房地产开发经营。</w:t>
      </w:r>
      <w:r>
        <w:rPr>
          <w:rFonts w:hint="eastAsia" w:ascii="宋体" w:hAnsi="宋体" w:eastAsia="宋体" w:cs="宋体"/>
          <w:color w:val="000000" w:themeColor="text1"/>
          <w:sz w:val="24"/>
          <w:szCs w:val="24"/>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（十四）物业管理。</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（十五）租赁和商务服务业。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（十六）其他未列明行业。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spacing w:line="360" w:lineRule="auto"/>
        <w:widowControl/>
        <w:rPr>
          <w:rFonts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br w:type="page" w:clear="all"/>
      </w:r>
      <w:r>
        <w:rPr>
          <w:rFonts w:hint="eastAsia" w:ascii="宋体" w:hAnsi="宋体" w:eastAsia="宋体" w:cs="宋体"/>
          <w:b/>
          <w:bCs/>
          <w:color w:val="000000" w:themeColor="text1"/>
          <w:sz w:val="24"/>
          <w:szCs w:val="24"/>
          <w:highlight w:val="none"/>
          <w14:textFill>
            <w14:solidFill>
              <w14:schemeClr w14:val="tx1"/>
            </w14:solidFill>
          </w14:textFill>
        </w:rPr>
        <w:t xml:space="preserve">7、残疾人福利性单位声明函</w:t>
      </w:r>
      <w:r/>
    </w:p>
    <w:p>
      <w:pP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本单位郑重声明，根据《财政部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民政部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本单位对上述声明的真实性负责。如有虚假，将依法承担相应责任。</w:t>
      </w:r>
      <w:r/>
    </w:p>
    <w:p>
      <w:pPr>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952"/>
        <w:ind w:right="420" w:firstLine="0"/>
        <w:spacing w:line="360" w:lineRule="auto"/>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投标人（单位盖章）：</w:t>
      </w:r>
      <w:r/>
    </w:p>
    <w:p>
      <w:pPr>
        <w:pStyle w:val="952"/>
        <w:ind w:right="420" w:firstLine="0"/>
        <w:spacing w:line="360" w:lineRule="auto"/>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法定代表人或代理人（签字或盖章）：</w:t>
      </w:r>
      <w:r/>
    </w:p>
    <w:p>
      <w:pPr>
        <w:pStyle w:val="952"/>
        <w:ind w:right="420" w:firstLine="0"/>
        <w:spacing w:line="360" w:lineRule="auto"/>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日期：     年     月     日</w:t>
      </w:r>
      <w:r/>
    </w:p>
    <w:p>
      <w:pPr>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9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第四章 采购需求</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bookmarkStart w:id="7" w:name="_Toc13642116"/>
      <w:r>
        <w:rPr>
          <w:rFonts w:hint="eastAsia" w:ascii="宋体" w:hAnsi="宋体" w:eastAsia="宋体" w:cs="宋体"/>
          <w:bCs/>
          <w:color w:val="000000" w:themeColor="text1"/>
          <w:sz w:val="24"/>
          <w:szCs w:val="24"/>
          <w:highlight w:val="none"/>
          <w14:textFill>
            <w14:solidFill>
              <w14:schemeClr w14:val="tx1"/>
            </w14:solidFill>
          </w14:textFill>
        </w:rPr>
        <w:t xml:space="preserve">苏州正杰招投标咨询服务有限公司受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苏州市吴江区儿童医院</w:t>
      </w:r>
      <w:r>
        <w:rPr>
          <w:rFonts w:hint="eastAsia" w:ascii="宋体" w:hAnsi="宋体" w:eastAsia="宋体" w:cs="宋体"/>
          <w:bCs/>
          <w:color w:val="000000" w:themeColor="text1"/>
          <w:sz w:val="24"/>
          <w:szCs w:val="24"/>
          <w:highlight w:val="none"/>
          <w14:textFill>
            <w14:solidFill>
              <w14:schemeClr w14:val="tx1"/>
            </w14:solidFill>
          </w14:textFill>
        </w:rPr>
        <w:t xml:space="preserve">的委托，就其所需的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检验检测外送服务</w:t>
      </w:r>
      <w:r>
        <w:rPr>
          <w:rFonts w:hint="eastAsia" w:ascii="宋体" w:hAnsi="宋体" w:eastAsia="宋体" w:cs="宋体"/>
          <w:color w:val="000000" w:themeColor="text1"/>
          <w:sz w:val="24"/>
          <w:szCs w:val="24"/>
          <w:highlight w:val="none"/>
          <w14:textFill>
            <w14:solidFill>
              <w14:schemeClr w14:val="tx1"/>
            </w14:solidFill>
          </w14:textFill>
        </w:rPr>
        <w:t xml:space="preserve">项目</w:t>
      </w:r>
      <w:r>
        <w:rPr>
          <w:rFonts w:hint="eastAsia" w:ascii="宋体" w:hAnsi="宋体" w:eastAsia="宋体" w:cs="宋体"/>
          <w:bCs/>
          <w:color w:val="000000" w:themeColor="text1"/>
          <w:sz w:val="24"/>
          <w:szCs w:val="24"/>
          <w:highlight w:val="none"/>
          <w14:textFill>
            <w14:solidFill>
              <w14:schemeClr w14:val="tx1"/>
            </w14:solidFill>
          </w14:textFill>
        </w:rPr>
        <w:t xml:space="preserve">以竞争性磋商方式组织政府采购，欢迎符合条件的供应商参加</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一、采购编号：</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JSZC-320509-SZZJ-C2025-0059</w:t>
      </w:r>
      <w:r>
        <w:rPr>
          <w:rFonts w:hint="eastAsia" w:ascii="宋体" w:hAnsi="宋体" w:eastAsia="宋体" w:cs="宋体"/>
          <w:b/>
          <w:bCs/>
          <w:color w:val="000000" w:themeColor="text1"/>
          <w:sz w:val="24"/>
          <w:szCs w:val="24"/>
          <w:highlight w:val="none"/>
          <w14:textFill>
            <w14:solidFill>
              <w14:schemeClr w14:val="tx1"/>
            </w14:solidFill>
          </w14:textFill>
        </w:rPr>
        <w:t xml:space="preserve">号。</w:t>
      </w:r>
      <w:r/>
    </w:p>
    <w:p>
      <w:pPr>
        <w:ind w:firstLine="482"/>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二、采购需求：</w:t>
      </w:r>
      <w:bookmarkEnd w:id="7"/>
      <w:r/>
      <w:r/>
    </w:p>
    <w:p>
      <w:pPr>
        <w:pStyle w:val="957"/>
        <w:numPr>
          <w:ilvl w:val="0"/>
          <w:numId w:val="0"/>
        </w:numPr>
        <w:ind w:firstLine="482"/>
        <w:keepLines w:val="0"/>
        <w:keepNext w:val="0"/>
        <w:pageBreakBefore w:val="0"/>
        <w:spacing w:line="360" w:lineRule="auto"/>
        <w:widowControl w:val="off"/>
        <w:rPr>
          <w:rFonts w:hint="default"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两个标段均使用下列服务要求，清单内容按各自要求执行。</w:t>
      </w:r>
      <w:r/>
    </w:p>
    <w:p>
      <w:pPr>
        <w:pStyle w:val="957"/>
        <w:numPr>
          <w:ilvl w:val="0"/>
          <w:numId w:val="0"/>
        </w:numPr>
        <w:ind w:firstLine="480"/>
        <w:keepLines w:val="0"/>
        <w:keepNext w:val="0"/>
        <w:pageBreakBefore w:val="0"/>
        <w:spacing w:line="360" w:lineRule="auto"/>
        <w:widowControl w:val="off"/>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（一）具体服务要求：</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1、样本收取</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1.1接采购人通知后约定时间专人收取样本并保证专业医学冷链进行样本转运；如为急诊样本，需在接到医院电话后2小时内响应，直接运送至检测实验室进行检测。</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1.2遵守保密制度，保护受检者的秘密，未经许可，不得向无关人员泄露受检者的检测情况。</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1.3具有相关的技术支持团队对接采购人，及时响应相关问题。</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1.4由于检测质量问题造成的医疗纠纷成交公司需赔偿采购人因此产生的一切经济损失。</w:t>
      </w:r>
      <w:r/>
    </w:p>
    <w:p>
      <w:pPr>
        <w:pStyle w:val="957"/>
        <w:numPr>
          <w:ilvl w:val="0"/>
          <w:numId w:val="1"/>
        </w:numPr>
        <w:ind w:left="462"/>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检测报告出具时间</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（2.1-2.4适用于第一标段；2.5适用于第二标段）</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2.1普通样本需要在检测实验室收到样本后3个工作日内出具检测报告；</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2.2特殊样本需要在检测实验室收到样本后7个工作日内出具检测报告（遗传相关项目在接到标本后20个工作日内出具报告）；</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2.3加急样本要在检测实验室收到样本后12小时内出具检测报告；</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2.4如检测结果为危急值应在出检测结果报告后的30分钟内电话通知送检单位；</w:t>
      </w:r>
      <w:r/>
    </w:p>
    <w:p>
      <w:pPr>
        <w:pStyle w:val="957"/>
        <w:numPr>
          <w:ilvl w:val="0"/>
          <w:numId w:val="0"/>
        </w:numPr>
        <w:ind w:firstLine="480"/>
        <w:keepLines w:val="0"/>
        <w:keepNext w:val="0"/>
        <w:pageBreakBefore w:val="0"/>
        <w:spacing w:line="360" w:lineRule="auto"/>
        <w:widowControl w:val="off"/>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2.5 样本需要在检测实验室收到样本后30天内出具检测报告。</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3、样本保存时间：应按照国家及行业标准对样本进行保存，血液类样本出具正式检测结果后保存7天。</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4、检测单位技术能力要求</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4.1、实验室管理规范，遵守相关法律法规，具有完善的实验室质量管理体系来保证日常实验活动有序进行。实验室对检测结果的准确性负责。</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4.2、实验室人员资质及人数符合成交人建设标准，提供副高及以上技师人员名单及人员资质证明材料。配备具有检验专业执业证的临床检测人员，具独立完成项目检测、报告审核的能力。</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4.3、响应单位提供相关专业技术力量情况介绍，具备独立的医学检验实验室。成交项目必须在本单位实验室独立完成，不可再次外送。</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（第二标段还须具有成熟的生物信息学分析和遗传学团队。）</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4.4、响应单位提供本单位实验室基本情况及物流情况，包括设备设施条件（仪器名称、数量、购买时间等）、开展相关业务规模，物流条件等。</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4.5、响应单位免费上门收取检测标本，提供检测样本所需相应样品管（瓶）、玻片等耗材。</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4.6、运送标本过程中有保温、抗震抗压的标本接收箱，全程符合生物安全要求（需要冷链运输的符合江苏省和苏州市食药监局冷链要求规定）。</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4.7、实验室负责对检测结果提供适当的解释；并与采购人就服务、质量和咨询进行定期交流。</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4.8、送检标本按保存时限进行保存，以备采购人复查，所有送检标本最终由成交人进行安全处置（特殊情况除外）。</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4.9、实验室保证将所有送检标本及检测结果相关资料保密，如有泄露，责任由泄露方负责。</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4.10、检测项目内涵或检测项目价格因政策因素发生变化时，本文件涉及的相关项目同步调整。</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4.11、提供报告查询平台。</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4.12、接受采购方的监督及不定期现场审核，确保投标方使用投标时承诺的试剂和检测体系。</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4.13、提供LIS系统数据对接服务，以实时传输检测数据。</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5、售后服务要求</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5.1、应保证自身的能力和资源能够满足委托检测需求，包括实验室人员的技能和专业知识，检测方法等。</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5.2、检测项目、收费标准、检测报告交付时间等事项发生变更时，应及时报告变更内容。</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5.3、根据需求，需提供样本的质量控制等相关内容的培训服务。</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（二）项目清单：</w:t>
      </w:r>
      <w:r/>
    </w:p>
    <w:p>
      <w:pPr>
        <w:ind w:firstLine="482"/>
        <w:pageBreakBefore w:val="0"/>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第一标段：检验项目外送服务</w:t>
      </w:r>
      <w:r/>
    </w:p>
    <w:tbl>
      <w:tblPr>
        <w:tblStyle w:val="950"/>
        <w:tblW w:w="985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6810"/>
        <w:gridCol w:w="1965"/>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最高限价（元）</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胰岛素生长因子-1测定（IGF-1）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类胰岛素生长因子结合蛋白-3测定（IGF-3）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甲状腺球蛋白（TG）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促甲状腺激素受体抗体测定（TRAb）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人绒毛膜促性腺激素（HCG）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硫酸脱氢表雄甾酮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人生长激素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孕酮测定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皮质醇测定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促肾上腺皮质激素测定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食物不耐受检查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TNBK淋巴细胞（计数）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过敏原测定（血）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24小时尿蛋白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尿微量白蛋白测定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尿N-乙酰-β-D-氨基糖苷酶(NAG)测定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尿肌酐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尿转铁蛋白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尿β2微球蛋白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尿α1微球蛋白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尿免疫球蛋白G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尿钙测定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尿本周蛋白定性检测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尿视黄醇结合蛋白</w:t>
            </w:r>
            <w:r>
              <w:rPr>
                <w:rStyle w:val="971"/>
                <w:rFonts w:eastAsia="宋体"/>
                <w:color w:val="000000" w:themeColor="text1"/>
                <w:highlight w:val="none"/>
                <w:lang w:val="en-US" w:eastAsia="zh-CN" w:bidi="ar"/>
                <w14:textFill>
                  <w14:solidFill>
                    <w14:schemeClr w14:val="tx1"/>
                  </w14:solidFill>
                </w14:textFill>
              </w:rPr>
              <w:t xml:space="preserve">(URBP)</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测定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尿儿茶酚胺</w:t>
            </w:r>
            <w:r>
              <w:rPr>
                <w:rStyle w:val="971"/>
                <w:rFonts w:eastAsia="宋体"/>
                <w:color w:val="000000" w:themeColor="text1"/>
                <w:highlight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项（需备注</w:t>
            </w:r>
            <w:r>
              <w:rPr>
                <w:rStyle w:val="971"/>
                <w:rFonts w:eastAsia="宋体"/>
                <w:color w:val="000000" w:themeColor="text1"/>
                <w:highlight w:val="none"/>
                <w:lang w:val="en-US" w:eastAsia="zh-CN" w:bidi="ar"/>
                <w14:textFill>
                  <w14:solidFill>
                    <w14:schemeClr w14:val="tx1"/>
                  </w14:solidFill>
                </w14:textFill>
              </w:rPr>
              <w:t xml:space="preserve">24H</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尿量）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抗缪勒氏管激素定量测定（</w:t>
            </w:r>
            <w:r>
              <w:rPr>
                <w:rStyle w:val="971"/>
                <w:rFonts w:eastAsia="宋体"/>
                <w:color w:val="000000" w:themeColor="text1"/>
                <w:highlight w:val="none"/>
                <w:lang w:val="en-US" w:eastAsia="zh-CN" w:bidi="ar"/>
                <w14:textFill>
                  <w14:solidFill>
                    <w14:schemeClr w14:val="tx1"/>
                  </w14:solidFill>
                </w14:textFill>
              </w:rPr>
              <w:t xml:space="preserve">AMH)</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人抑制素B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w:t>
            </w:r>
            <w:r>
              <w:rPr>
                <w:rStyle w:val="972"/>
                <w:rFonts w:eastAsia="宋体"/>
                <w:color w:val="000000" w:themeColor="text1"/>
                <w:highlight w:val="none"/>
                <w:lang w:val="en-US" w:eastAsia="zh-CN" w:bidi="ar"/>
                <w14:textFill>
                  <w14:solidFill>
                    <w14:schemeClr w14:val="tx1"/>
                  </w14:solidFill>
                </w14:textFill>
              </w:rPr>
              <w:t xml:space="preserve">α</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羟孕酮测定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抗角蛋白抗体</w:t>
            </w:r>
            <w:r>
              <w:rPr>
                <w:rStyle w:val="971"/>
                <w:rFonts w:eastAsia="宋体"/>
                <w:color w:val="000000" w:themeColor="text1"/>
                <w:highlight w:val="none"/>
                <w:lang w:val="en-US" w:eastAsia="zh-CN" w:bidi="ar"/>
                <w14:textFill>
                  <w14:solidFill>
                    <w14:schemeClr w14:val="tx1"/>
                  </w14:solidFill>
                </w14:textFill>
              </w:rPr>
              <w:t xml:space="preserve">(AKA)</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测定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抗中性粒细胞胞浆抗体（</w:t>
            </w:r>
            <w:r>
              <w:rPr>
                <w:rStyle w:val="971"/>
                <w:rFonts w:eastAsia="宋体"/>
                <w:color w:val="000000" w:themeColor="text1"/>
                <w:highlight w:val="none"/>
                <w:lang w:val="en-US" w:eastAsia="zh-CN" w:bidi="ar"/>
                <w14:textFill>
                  <w14:solidFill>
                    <w14:schemeClr w14:val="tx1"/>
                  </w14:solidFill>
                </w14:textFill>
              </w:rPr>
              <w:t xml:space="preserve">ANCA</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抗环瓜氨酸多肽抗体（</w:t>
            </w:r>
            <w:r>
              <w:rPr>
                <w:rStyle w:val="971"/>
                <w:rFonts w:eastAsia="宋体"/>
                <w:color w:val="000000" w:themeColor="text1"/>
                <w:highlight w:val="none"/>
                <w:lang w:val="en-US" w:eastAsia="zh-CN" w:bidi="ar"/>
                <w14:textFill>
                  <w14:solidFill>
                    <w14:schemeClr w14:val="tx1"/>
                  </w14:solidFill>
                </w14:textFill>
              </w:rPr>
              <w:t xml:space="preserve">CCP</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抗心磷脂抗体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狼疮抗凝物质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涎液化糖链抗原-6（KL-6）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ENA谱14项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铜蓝蛋白测定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人类白细胞抗原B27测定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糖化血红蛋白测定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糖化血清蛋白测定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糖化白蛋白测定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果糖胺测定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糖尿病两项（</w:t>
            </w:r>
            <w:r>
              <w:rPr>
                <w:rStyle w:val="971"/>
                <w:rFonts w:eastAsia="宋体"/>
                <w:color w:val="000000" w:themeColor="text1"/>
                <w:highlight w:val="none"/>
                <w:lang w:val="en-US" w:eastAsia="zh-CN" w:bidi="ar"/>
                <w14:textFill>
                  <w14:solidFill>
                    <w14:schemeClr w14:val="tx1"/>
                  </w14:solidFill>
                </w14:textFill>
              </w:rPr>
              <w:t xml:space="preserve">ICA+GAD-Ab)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抗胰岛素抗体（</w:t>
            </w:r>
            <w:r>
              <w:rPr>
                <w:rStyle w:val="971"/>
                <w:rFonts w:eastAsia="宋体"/>
                <w:color w:val="000000" w:themeColor="text1"/>
                <w:highlight w:val="none"/>
                <w:lang w:val="en-US" w:eastAsia="zh-CN" w:bidi="ar"/>
                <w14:textFill>
                  <w14:solidFill>
                    <w14:schemeClr w14:val="tx1"/>
                  </w14:solidFill>
                </w14:textFill>
              </w:rPr>
              <w:t xml:space="preserve">IAA)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丙型肝炎病毒</w:t>
            </w:r>
            <w:r>
              <w:rPr>
                <w:rStyle w:val="971"/>
                <w:rFonts w:eastAsia="宋体"/>
                <w:color w:val="000000" w:themeColor="text1"/>
                <w:highlight w:val="none"/>
                <w:lang w:val="en-US" w:eastAsia="zh-CN" w:bidi="ar"/>
                <w14:textFill>
                  <w14:solidFill>
                    <w14:schemeClr w14:val="tx1"/>
                  </w14:solidFill>
                </w14:textFill>
              </w:rPr>
              <w:t xml:space="preserve">RNA</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乙型肝炎DNA测定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肝炎全套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促红细胞生成素测定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甲状旁腺激素测定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铁蛋白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维生素B12测定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叶酸测定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血小板相关抗体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TORCH检查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柯萨奇病毒IgM抗体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CMV相关抗体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高血压三项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同型半胱氨酸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糖类抗原125测定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糖类抗原15-3测定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糖类抗原19-9测定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糖类抗原72-4测定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神经元特异性烯醇化酶测定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细胞角蛋白19片段测定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糖类抗原50测定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鳞状细胞癌相关抗原SCC测定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糖类抗原242测定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总前列腺特异性抗原测定（</w:t>
            </w:r>
            <w:r>
              <w:rPr>
                <w:rStyle w:val="971"/>
                <w:rFonts w:eastAsia="宋体"/>
                <w:color w:val="000000" w:themeColor="text1"/>
                <w:highlight w:val="none"/>
                <w:lang w:val="en-US" w:eastAsia="zh-CN" w:bidi="ar"/>
                <w14:textFill>
                  <w14:solidFill>
                    <w14:schemeClr w14:val="tx1"/>
                  </w14:solidFill>
                </w14:textFill>
              </w:rPr>
              <w:t xml:space="preserve">TPSA)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游离前列腺特异性抗原测定（</w:t>
            </w:r>
            <w:r>
              <w:rPr>
                <w:rStyle w:val="971"/>
                <w:rFonts w:eastAsia="宋体"/>
                <w:color w:val="000000" w:themeColor="text1"/>
                <w:highlight w:val="none"/>
                <w:lang w:val="en-US" w:eastAsia="zh-CN" w:bidi="ar"/>
                <w14:textFill>
                  <w14:solidFill>
                    <w14:schemeClr w14:val="tx1"/>
                  </w14:solidFill>
                </w14:textFill>
              </w:rPr>
              <w:t xml:space="preserve">FPSA</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血管内皮生长因子检测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G试验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GM试验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血清双氢睾酮测定</w:t>
            </w:r>
            <w:r>
              <w:rPr>
                <w:rStyle w:val="971"/>
                <w:rFonts w:eastAsia="宋体"/>
                <w:color w:val="000000" w:themeColor="text1"/>
                <w:highlight w:val="none"/>
                <w:lang w:val="en-US" w:eastAsia="zh-CN" w:bidi="ar"/>
                <w14:textFill>
                  <w14:solidFill>
                    <w14:schemeClr w14:val="tx1"/>
                  </w14:solidFill>
                </w14:textFill>
              </w:rPr>
              <w:t xml:space="preserve">(DHT)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自身免疫性肝病抗体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102.8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外周血染色体检查（需申请单）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结核感染T细胞检测（TB-IGRA）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结核分枝杆菌rpoB基因和突变检测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串联质谱遗传代谢病筛查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117.6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双阴性T细胞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Th1/Th2/Th17亚群检测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Y微缺失检测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FISH（原位荧光杂交）无需申请单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病原宏基因组测序（mNGS）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1440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基因芯片（需申请单）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1280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甲状腺球蛋白抗体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甲状腺过氧化物酶抗体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雄烯二酮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血酮体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抗乙酰胆碱受体抗体（AchR-Ab）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681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C1q抗体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w:t>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985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以下项目须在医院自主定价的基础上按照所报出的下浮率予以结算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肌炎抗体谱</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脱髓鞘抗体</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溶贫筛查</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溶血全套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血管性血友病因子裂解酶（ADAMTS13）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血小板生存时间测定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尿有机酸测定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嗜酸性粒细胞阳离子蛋白（ECP）mRNA检测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抗PLA2A抗体</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重症肌无力抗体谱</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副瘤性神经综合征抗体谱</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神经节苷脂抗体谱</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MOG抗体（活细胞+CBA法）</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系统性硬化症抗体谱</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自身免疫性小脑共济失调</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自身免疫性痫性发作套餐</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抗肾小球基底膜GBM抗体</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MDA5单项检查</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自身免疫性自主神经病5项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自身免疫性自主神经病6项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调节性T细胞检测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感染活化检测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DC细胞亚群检测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T细胞衰老耗竭（PD-1表达）</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淋巴细胞IFN-γ功能检测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T细胞亚群+调节性T细胞检测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MDSC细胞检测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EBV淋巴细胞亚群</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NK细胞活性测定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可溶性CD25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淋巴细胞精细分型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CD107a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慢活、嗜血综合征相关细胞因子</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造血细胞自身抗体</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穿孔素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病原靶向测序（tNGS）</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自身免疫性脑炎相关抗体</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Prader-Willi综合征基因检测</w:t>
            </w:r>
            <w:r/>
          </w:p>
        </w:tc>
      </w:tr>
    </w:tbl>
    <w:p>
      <w:pPr>
        <w:spacing w:line="360" w:lineRule="auto"/>
        <w:tabs>
          <w:tab w:val="left" w:pos="567"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ind w:firstLine="482"/>
        <w:spacing w:line="360" w:lineRule="auto"/>
        <w:tabs>
          <w:tab w:val="left" w:pos="567"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第二标段：人类遗传病基因检测项目</w:t>
      </w:r>
      <w:r/>
    </w:p>
    <w:p>
      <w:pPr>
        <w:pStyle w:val="957"/>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项目清单：</w:t>
      </w:r>
      <w:r/>
    </w:p>
    <w:tbl>
      <w:tblPr>
        <w:tblStyle w:val="950"/>
        <w:tblW w:w="970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93"/>
        <w:gridCol w:w="3666"/>
        <w:gridCol w:w="3350"/>
        <w:gridCol w:w="1800"/>
      </w:tblGrid>
      <w:tr>
        <w:trPr>
          <w:trHeight w:val="538"/>
        </w:trPr>
        <w:tc>
          <w:tcPr>
            <w:shd w:val="clear" w:color="auto" w:fill="auto"/>
            <w:tcBorders>
              <w:top w:val="single" w:color="000000" w:sz="8"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366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项目名称</w:t>
            </w:r>
            <w:r/>
          </w:p>
        </w:tc>
        <w:tc>
          <w:tcPr>
            <w:shd w:val="clear" w:color="auto" w:fill="auto"/>
            <w:tcBorders>
              <w:top w:val="single" w:color="000000" w:sz="8" w:space="0"/>
              <w:left w:val="single" w:color="000000" w:sz="8" w:space="0"/>
              <w:bottom w:val="single" w:color="000000" w:sz="8" w:space="0"/>
              <w:right w:val="single" w:color="000000" w:sz="8" w:space="0"/>
            </w:tcBorders>
            <w:tcW w:w="33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检测基因</w:t>
            </w:r>
            <w:r/>
          </w:p>
        </w:tc>
        <w:tc>
          <w:tcPr>
            <w:shd w:val="clear" w:color="auto" w:fill="auto"/>
            <w:tcBorders>
              <w:top w:val="single" w:color="000000" w:sz="8" w:space="0"/>
              <w:left w:val="single" w:color="000000" w:sz="8" w:space="0"/>
              <w:bottom w:val="single" w:color="000000" w:sz="8" w:space="0"/>
              <w:right w:val="single" w:color="000000" w:sz="8" w:space="0"/>
            </w:tcBorders>
            <w:tcW w:w="18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单价最高限价（元）</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366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panel-线粒体基因组检测</w:t>
            </w:r>
            <w:r/>
          </w:p>
        </w:tc>
        <w:tc>
          <w:tcPr>
            <w:shd w:val="clear" w:color="auto" w:fill="auto"/>
            <w:tcBorders>
              <w:top w:val="none" w:color="000000" w:sz="4" w:space="0"/>
              <w:left w:val="single" w:color="000000" w:sz="8" w:space="0"/>
              <w:bottom w:val="single" w:color="000000" w:sz="8" w:space="0"/>
              <w:right w:val="single" w:color="000000" w:sz="8" w:space="0"/>
            </w:tcBorders>
            <w:tcW w:w="33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GMD、OMIM、Clinvar 三大权威数据库收录的所有疾病相关基因Panel</w:t>
            </w:r>
            <w:r/>
          </w:p>
        </w:tc>
        <w:tc>
          <w:tcPr>
            <w:shd w:val="clear" w:color="auto" w:fill="auto"/>
            <w:tcBorders>
              <w:top w:val="none" w:color="000000" w:sz="4" w:space="0"/>
              <w:left w:val="single" w:color="000000" w:sz="8" w:space="0"/>
              <w:bottom w:val="single" w:color="000000" w:sz="8" w:space="0"/>
              <w:right w:val="single" w:color="000000" w:sz="8" w:space="0"/>
            </w:tcBorders>
            <w:tcW w:w="18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1049</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366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panel-基因panel检测</w:t>
            </w:r>
            <w:r/>
          </w:p>
        </w:tc>
        <w:tc>
          <w:tcPr>
            <w:shd w:val="clear" w:color="auto" w:fill="auto"/>
            <w:tcBorders>
              <w:top w:val="none" w:color="000000" w:sz="4" w:space="0"/>
              <w:left w:val="single" w:color="000000" w:sz="8" w:space="0"/>
              <w:bottom w:val="single" w:color="000000" w:sz="8" w:space="0"/>
              <w:right w:val="single" w:color="000000" w:sz="8" w:space="0"/>
            </w:tcBorders>
            <w:tcW w:w="3350" w:type="dxa"/>
            <w:vAlign w:val="center"/>
            <w:textDirection w:val="lrTb"/>
            <w:noWrap w:val="false"/>
          </w:tcPr>
          <w:p>
            <w:pPr>
              <w:jc w:val="both"/>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18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1007</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366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panel-系统疾病panel检测</w:t>
            </w:r>
            <w:r/>
          </w:p>
        </w:tc>
        <w:tc>
          <w:tcPr>
            <w:shd w:val="clear" w:color="auto" w:fill="auto"/>
            <w:tcBorders>
              <w:top w:val="none" w:color="000000" w:sz="4" w:space="0"/>
              <w:left w:val="single" w:color="000000" w:sz="8" w:space="0"/>
              <w:bottom w:val="single" w:color="000000" w:sz="8" w:space="0"/>
              <w:right w:val="single" w:color="000000" w:sz="8" w:space="0"/>
            </w:tcBorders>
            <w:tcW w:w="3350" w:type="dxa"/>
            <w:vAlign w:val="center"/>
            <w:textDirection w:val="lrTb"/>
            <w:noWrap w:val="false"/>
          </w:tcPr>
          <w:p>
            <w:pPr>
              <w:jc w:val="both"/>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18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1487</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366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panel-糖尿病基因panel+HLA分型</w:t>
            </w:r>
            <w:r/>
          </w:p>
        </w:tc>
        <w:tc>
          <w:tcPr>
            <w:shd w:val="clear" w:color="auto" w:fill="auto"/>
            <w:tcBorders>
              <w:top w:val="none" w:color="000000" w:sz="4" w:space="0"/>
              <w:left w:val="single" w:color="000000" w:sz="8" w:space="0"/>
              <w:bottom w:val="single" w:color="000000" w:sz="8" w:space="0"/>
              <w:right w:val="single" w:color="000000" w:sz="8" w:space="0"/>
            </w:tcBorders>
            <w:tcW w:w="3350" w:type="dxa"/>
            <w:vAlign w:val="center"/>
            <w:textDirection w:val="lrTb"/>
            <w:noWrap w:val="false"/>
          </w:tcPr>
          <w:p>
            <w:pPr>
              <w:jc w:val="both"/>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18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2660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366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panel-动态突变检测</w:t>
            </w:r>
            <w:r/>
          </w:p>
        </w:tc>
        <w:tc>
          <w:tcPr>
            <w:shd w:val="clear" w:color="auto" w:fill="auto"/>
            <w:tcBorders>
              <w:top w:val="none" w:color="000000" w:sz="4" w:space="0"/>
              <w:left w:val="single" w:color="000000" w:sz="8" w:space="0"/>
              <w:bottom w:val="single" w:color="000000" w:sz="8" w:space="0"/>
              <w:right w:val="single" w:color="000000" w:sz="8" w:space="0"/>
            </w:tcBorders>
            <w:tcW w:w="3350" w:type="dxa"/>
            <w:vAlign w:val="center"/>
            <w:textDirection w:val="lrTb"/>
            <w:noWrap w:val="false"/>
          </w:tcPr>
          <w:p>
            <w:pPr>
              <w:jc w:val="both"/>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18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703</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366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panel-MLPA检测</w:t>
            </w:r>
            <w:r/>
          </w:p>
        </w:tc>
        <w:tc>
          <w:tcPr>
            <w:shd w:val="clear" w:color="auto" w:fill="auto"/>
            <w:tcBorders>
              <w:top w:val="none" w:color="000000" w:sz="4" w:space="0"/>
              <w:left w:val="single" w:color="000000" w:sz="8" w:space="0"/>
              <w:bottom w:val="single" w:color="000000" w:sz="8" w:space="0"/>
              <w:right w:val="single" w:color="000000" w:sz="8" w:space="0"/>
            </w:tcBorders>
            <w:tcW w:w="3350" w:type="dxa"/>
            <w:vAlign w:val="center"/>
            <w:textDirection w:val="lrTb"/>
            <w:noWrap w:val="false"/>
          </w:tcPr>
          <w:p>
            <w:pPr>
              <w:jc w:val="both"/>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18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682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366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panel-单基因变异位点检测</w:t>
            </w:r>
            <w:r/>
          </w:p>
        </w:tc>
        <w:tc>
          <w:tcPr>
            <w:shd w:val="clear" w:color="auto" w:fill="auto"/>
            <w:tcBorders>
              <w:top w:val="none" w:color="000000" w:sz="4" w:space="0"/>
              <w:left w:val="single" w:color="000000" w:sz="8" w:space="0"/>
              <w:bottom w:val="single" w:color="000000" w:sz="8" w:space="0"/>
              <w:right w:val="single" w:color="000000" w:sz="8" w:space="0"/>
            </w:tcBorders>
            <w:tcW w:w="3350" w:type="dxa"/>
            <w:vAlign w:val="center"/>
            <w:textDirection w:val="lrTb"/>
            <w:noWrap w:val="false"/>
          </w:tcPr>
          <w:p>
            <w:pPr>
              <w:jc w:val="both"/>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18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366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panel-其他</w:t>
            </w:r>
            <w:r/>
          </w:p>
        </w:tc>
        <w:tc>
          <w:tcPr>
            <w:shd w:val="clear" w:color="auto" w:fill="auto"/>
            <w:tcBorders>
              <w:top w:val="none" w:color="000000" w:sz="4" w:space="0"/>
              <w:left w:val="single" w:color="000000" w:sz="8" w:space="0"/>
              <w:bottom w:val="single" w:color="000000" w:sz="8" w:space="0"/>
              <w:right w:val="single" w:color="000000" w:sz="8" w:space="0"/>
            </w:tcBorders>
            <w:tcW w:w="3350" w:type="dxa"/>
            <w:vAlign w:val="center"/>
            <w:textDirection w:val="lrTb"/>
            <w:noWrap w:val="false"/>
          </w:tcPr>
          <w:p>
            <w:pPr>
              <w:jc w:val="both"/>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18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1007</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366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家族性高胆固醇血症基因筛查</w:t>
            </w:r>
            <w:r/>
          </w:p>
        </w:tc>
        <w:tc>
          <w:tcPr>
            <w:shd w:val="clear" w:color="auto" w:fill="auto"/>
            <w:tcBorders>
              <w:top w:val="none" w:color="000000" w:sz="4" w:space="0"/>
              <w:left w:val="single" w:color="000000" w:sz="8" w:space="0"/>
              <w:bottom w:val="single" w:color="000000" w:sz="8" w:space="0"/>
              <w:right w:val="single" w:color="000000" w:sz="8" w:space="0"/>
            </w:tcBorders>
            <w:tcW w:w="33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4个致病基因870个位点；指导用药2个基因4个SNP位点</w:t>
            </w:r>
            <w:r/>
          </w:p>
        </w:tc>
        <w:tc>
          <w:tcPr>
            <w:shd w:val="clear" w:color="auto" w:fill="auto"/>
            <w:tcBorders>
              <w:top w:val="none" w:color="000000" w:sz="4" w:space="0"/>
              <w:left w:val="single" w:color="000000" w:sz="8" w:space="0"/>
              <w:bottom w:val="single" w:color="000000" w:sz="8" w:space="0"/>
              <w:right w:val="single" w:color="000000" w:sz="8" w:space="0"/>
            </w:tcBorders>
            <w:tcW w:w="18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366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全基因组（先证者）</w:t>
            </w:r>
            <w:r/>
          </w:p>
        </w:tc>
        <w:tc>
          <w:tcPr>
            <w:shd w:val="clear" w:color="auto" w:fill="auto"/>
            <w:tcBorders>
              <w:top w:val="none" w:color="000000" w:sz="4" w:space="0"/>
              <w:left w:val="single" w:color="000000" w:sz="8" w:space="0"/>
              <w:bottom w:val="single" w:color="000000" w:sz="8" w:space="0"/>
              <w:right w:val="single" w:color="000000" w:sz="8" w:space="0"/>
            </w:tcBorders>
            <w:tcW w:w="33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人类两万个基因的全部序列(WGS)</w:t>
            </w:r>
            <w:r/>
          </w:p>
        </w:tc>
        <w:tc>
          <w:tcPr>
            <w:shd w:val="clear" w:color="auto" w:fill="auto"/>
            <w:tcBorders>
              <w:top w:val="none" w:color="000000" w:sz="4" w:space="0"/>
              <w:left w:val="single" w:color="000000" w:sz="8" w:space="0"/>
              <w:bottom w:val="single" w:color="000000" w:sz="8" w:space="0"/>
              <w:right w:val="single" w:color="000000" w:sz="8" w:space="0"/>
            </w:tcBorders>
            <w:tcW w:w="18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4300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366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全基因组（一家三口）</w:t>
            </w:r>
            <w:r/>
          </w:p>
        </w:tc>
        <w:tc>
          <w:tcPr>
            <w:shd w:val="clear" w:color="auto" w:fill="auto"/>
            <w:tcBorders>
              <w:top w:val="none" w:color="000000" w:sz="4" w:space="0"/>
              <w:left w:val="single" w:color="000000" w:sz="8" w:space="0"/>
              <w:bottom w:val="single" w:color="000000" w:sz="8" w:space="0"/>
              <w:right w:val="single" w:color="000000" w:sz="8" w:space="0"/>
            </w:tcBorders>
            <w:tcW w:w="3350" w:type="dxa"/>
            <w:vAlign w:val="center"/>
            <w:textDirection w:val="lrTb"/>
            <w:noWrap w:val="false"/>
          </w:tcPr>
          <w:p>
            <w:pPr>
              <w:jc w:val="both"/>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18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366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全基因组（一家四口）</w:t>
            </w:r>
            <w:r/>
          </w:p>
        </w:tc>
        <w:tc>
          <w:tcPr>
            <w:shd w:val="clear" w:color="auto" w:fill="auto"/>
            <w:tcBorders>
              <w:top w:val="none" w:color="000000" w:sz="4" w:space="0"/>
              <w:left w:val="single" w:color="000000" w:sz="8" w:space="0"/>
              <w:bottom w:val="single" w:color="000000" w:sz="8" w:space="0"/>
              <w:right w:val="single" w:color="000000" w:sz="8" w:space="0"/>
            </w:tcBorders>
            <w:tcW w:w="3350" w:type="dxa"/>
            <w:vAlign w:val="center"/>
            <w:textDirection w:val="lrTb"/>
            <w:noWrap w:val="false"/>
          </w:tcPr>
          <w:p>
            <w:pPr>
              <w:jc w:val="both"/>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tc>
        <w:tc>
          <w:tcPr>
            <w:shd w:val="clear" w:color="auto" w:fill="auto"/>
            <w:tcBorders>
              <w:top w:val="none" w:color="000000" w:sz="4" w:space="0"/>
              <w:left w:val="single" w:color="000000" w:sz="8" w:space="0"/>
              <w:bottom w:val="single" w:color="000000" w:sz="8" w:space="0"/>
              <w:right w:val="single" w:color="000000" w:sz="8" w:space="0"/>
            </w:tcBorders>
            <w:tcW w:w="180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15000</w:t>
            </w:r>
            <w:r/>
          </w:p>
        </w:tc>
      </w:tr>
    </w:tbl>
    <w:p>
      <w:pPr>
        <w:pStyle w:val="957"/>
        <w:numPr>
          <w:ilvl w:val="0"/>
          <w:numId w:val="0"/>
        </w:numPr>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r>
      <w:r/>
    </w:p>
    <w:p>
      <w:pPr>
        <w:ind w:firstLine="482"/>
        <w:spacing w:line="360" w:lineRule="auto"/>
        <w:tabs>
          <w:tab w:val="left" w:pos="567" w:leader="none"/>
        </w:tabs>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三、有关说明：</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实施质量必须严格按照国家规范及江苏省、苏州市相应地方规范、采购文件的技术规范的有关要求执行，如果在合同履行过程中有新的国家或行业（部）规范和标准出台的，则供应商应确保其合同标的物达到并符合新的国家或行业（部）规范和标准，因此而增加的费用及风险由供应商自行承担。</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2、供应商须在项目实施前把详细的实施方案报送采购人审批，经批准同意后方可以组织实施。在项目实施期间供应商应遵守项目现场及采购人的各项规章制度。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3、供应商在项目实施期间应无条件的接受采购人的监督管理，提出的质量问题要及时整改，整改完毕后通知采购人检查验收，合格后书面报送采购人备案。</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采购人使用供应商的货物、技术、资料、服务或其他任何一部分时，享有无偿使用权，并免受第三方提出的侵犯其专利权、著作权、商标权或其他知识产权的起诉。如果第三方提出侵权指控，供应商应承担由此而引起的一切法律责任和费用。</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5、与本次采购项目有关的质量、安全问题均由供应商负责，相关的人员、财产责任风险均由供应商承担。</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本次采购人拟采购的产品均不属于《节能产品政府采购品目清单》范围内的政府强制采购产品，也均不属于《节能产品政府采购品目清单》、《环境标志产品政府采购品目清单》范围内优先采购的产品（不包含政府强制采购产品）。</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响应产品如属于国家认证认可监督管理委员会现行《强制性产品认证目录描述与界定表》管理的强制性认证产品，供应商在提请采购人验收时须提供上述产品的对应证书，否则采购人有权不予验收，且供应商应承担由此而引起的一切法律责任和费用。</w:t>
      </w:r>
      <w:r/>
    </w:p>
    <w:p>
      <w:pPr>
        <w:ind w:firstLine="482"/>
        <w:spacing w:line="360" w:lineRule="auto"/>
        <w:tabs>
          <w:tab w:val="left" w:pos="567" w:leader="none"/>
        </w:tabs>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四、综合要求：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磋商报价要求包括但不限于本项目所有人工、派发、核实、修正、反馈、服务管理、通讯、各种税费、保险、劳保、薪金、福利、休假日补贴、医疗费用、维护、技术支持与培训及相关劳务支出等工作所发生的全部费用以及投标人企业利润、税金和政策性文件规定及合同包含的所有风险、责任等各项应有费用。除非因特殊原因并经买卖双方协商同意，磋商供应商不得再要求追加任何费用。同时，除非合同条款中另有规定，否则，磋商供应商所报价格在合同实施期间不因市场变化因素而变动。</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2、成交单位工作人员在岗履行职责期间（包括上下班途中），发生自身的人身伤害、伤亡，均由成交单位负责处理并承担经济和道义上的责任，采购单位不承担任何责任。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3、报价的编制依据：</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（1）报价严格按照采购方提供的服务要求及采购文件要求进行。响应单位应对所投项目的全部内容进行报价，只投其中部分内容者，其标书将被拒绝。</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（2）市场风险：响应单位在报价时应充分考虑服务期内的市场因素和成本变化状况的风险，一旦成交，所报的报价，即为每个项目的成交单价。</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响应单位所提供的服务能够至少达到以上要求，同时明确详细的服务方案。响应单位必须说明其是否响应采购文件中提出的全部服务内容与要求，如果以其中某些条款不响应时，应在文件中逐条列出，未列出的视同响应。</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5、服务要求：接到采购人通知后30分钟内响应，2小时内到达现场，8小时内解决问题。</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6、凡涉及本项目的补充说明和修改，均以苏州政府采购网上发布的信息为准。</w:t>
      </w:r>
      <w:r/>
    </w:p>
    <w:p>
      <w:pPr>
        <w:pStyle w:val="951"/>
        <w:jc w:val="center"/>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r>
      <w:r/>
    </w:p>
    <w:p>
      <w:pPr>
        <w:pStyle w:val="951"/>
        <w:jc w:val="center"/>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r>
      <w:r/>
    </w:p>
    <w:p>
      <w:pPr>
        <w:pStyle w:val="951"/>
        <w:jc w:val="center"/>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r>
      <w:r/>
    </w:p>
    <w:p>
      <w:pPr>
        <w:rPr>
          <w:rFonts w:ascii="宋体" w:hAnsi="宋体" w:eastAsia="宋体" w:cs="宋体"/>
          <w:b/>
          <w:bCs/>
          <w:color w:val="000000" w:themeColor="text1"/>
          <w:sz w:val="24"/>
          <w:szCs w:val="24"/>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r>
      <w:r/>
    </w:p>
    <w:p>
      <w:pPr>
        <w:pStyle w:val="948"/>
        <w:rPr>
          <w:rFonts w:ascii="宋体" w:hAnsi="宋体" w:eastAsia="宋体" w:cs="宋体"/>
          <w:b/>
          <w:bCs/>
          <w:color w:val="000000" w:themeColor="text1"/>
          <w:sz w:val="24"/>
          <w:szCs w:val="24"/>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r>
      <w:r/>
    </w:p>
    <w:p>
      <w:pPr>
        <w:rPr>
          <w:rFonts w:ascii="宋体" w:hAnsi="宋体" w:eastAsia="宋体" w:cs="宋体"/>
          <w:b/>
          <w:bCs/>
          <w:color w:val="000000" w:themeColor="text1"/>
          <w:sz w:val="24"/>
          <w:szCs w:val="24"/>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r>
      <w:r/>
    </w:p>
    <w:p>
      <w:pPr>
        <w:pStyle w:val="948"/>
        <w:rPr>
          <w:rFonts w:ascii="宋体" w:hAnsi="宋体" w:eastAsia="宋体" w:cs="宋体"/>
          <w:b/>
          <w:bCs/>
          <w:color w:val="000000" w:themeColor="text1"/>
          <w:sz w:val="24"/>
          <w:szCs w:val="24"/>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r>
      <w:r/>
    </w:p>
    <w:p>
      <w:pPr>
        <w:rPr>
          <w:rFonts w:ascii="宋体" w:hAnsi="宋体" w:eastAsia="宋体" w:cs="宋体"/>
          <w:b/>
          <w:bCs/>
          <w:color w:val="000000" w:themeColor="text1"/>
          <w:sz w:val="24"/>
          <w:szCs w:val="24"/>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r>
      <w:r/>
    </w:p>
    <w:p>
      <w:pPr>
        <w:pStyle w:val="961"/>
        <w:rPr>
          <w:rFonts w:ascii="宋体" w:hAnsi="宋体" w:eastAsia="宋体" w:cs="宋体"/>
          <w:b/>
          <w:bCs/>
          <w:color w:val="000000" w:themeColor="text1"/>
          <w:sz w:val="24"/>
          <w:szCs w:val="24"/>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r>
      <w:r/>
    </w:p>
    <w:p>
      <w:pPr>
        <w:rPr>
          <w:rFonts w:ascii="宋体" w:hAnsi="宋体" w:eastAsia="宋体" w:cs="宋体"/>
          <w:b/>
          <w:bCs/>
          <w:color w:val="000000" w:themeColor="text1"/>
          <w:sz w:val="24"/>
          <w:szCs w:val="24"/>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r>
      <w:r/>
    </w:p>
    <w:p>
      <w:pPr>
        <w:pStyle w:val="961"/>
        <w:rPr>
          <w:rFonts w:ascii="宋体" w:hAnsi="宋体" w:eastAsia="宋体" w:cs="宋体"/>
          <w:b/>
          <w:bCs/>
          <w:color w:val="000000" w:themeColor="text1"/>
          <w:sz w:val="24"/>
          <w:szCs w:val="24"/>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r>
      <w:r/>
    </w:p>
    <w:p>
      <w:pPr>
        <w:rPr>
          <w:rFonts w:ascii="宋体" w:hAnsi="宋体" w:eastAsia="宋体" w:cs="宋体"/>
          <w:b/>
          <w:bCs/>
          <w:color w:val="000000" w:themeColor="text1"/>
          <w:sz w:val="24"/>
          <w:szCs w:val="24"/>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r>
      <w:r/>
    </w:p>
    <w:p>
      <w:pPr>
        <w:pStyle w:val="961"/>
        <w:rPr>
          <w:rFonts w:ascii="宋体" w:hAnsi="宋体" w:eastAsia="宋体" w:cs="宋体"/>
          <w:b/>
          <w:bCs/>
          <w:color w:val="000000" w:themeColor="text1"/>
          <w:sz w:val="24"/>
          <w:szCs w:val="24"/>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r>
      <w:r/>
    </w:p>
    <w:p>
      <w:pPr>
        <w:rPr>
          <w:rFonts w:ascii="宋体" w:hAnsi="宋体" w:eastAsia="宋体" w:cs="宋体"/>
          <w:b/>
          <w:bCs/>
          <w:color w:val="000000" w:themeColor="text1"/>
          <w:sz w:val="24"/>
          <w:szCs w:val="24"/>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r>
      <w:r/>
    </w:p>
    <w:p>
      <w:pPr>
        <w:pStyle w:val="961"/>
        <w:rPr>
          <w:rFonts w:ascii="宋体" w:hAnsi="宋体" w:eastAsia="宋体" w:cs="宋体"/>
          <w:b/>
          <w:bCs/>
          <w:color w:val="000000" w:themeColor="text1"/>
          <w:sz w:val="24"/>
          <w:szCs w:val="24"/>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r>
      <w:r/>
    </w:p>
    <w:p>
      <w:pPr>
        <w:rPr>
          <w:rFonts w:ascii="宋体" w:hAnsi="宋体" w:eastAsia="宋体" w:cs="宋体"/>
          <w:b/>
          <w:bCs/>
          <w:color w:val="000000" w:themeColor="text1"/>
          <w:sz w:val="24"/>
          <w:szCs w:val="24"/>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r>
      <w:r/>
    </w:p>
    <w:p>
      <w:pPr>
        <w:pStyle w:val="961"/>
        <w:rPr>
          <w:rFonts w:ascii="宋体" w:hAnsi="宋体" w:eastAsia="宋体" w:cs="宋体"/>
          <w:b/>
          <w:bCs/>
          <w:color w:val="000000" w:themeColor="text1"/>
          <w:sz w:val="24"/>
          <w:szCs w:val="24"/>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1"/>
        <w:jc w:val="center"/>
        <w:spacing w:line="360" w:lineRule="auto"/>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第五章 合同主要条款</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各标段均使用</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项目名称：                       </w:t>
      </w:r>
      <w:r/>
    </w:p>
    <w:p>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项目编号：</w:t>
      </w:r>
      <w:r/>
    </w:p>
    <w:p>
      <w:pPr>
        <w:jc w:val="left"/>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jc w:val="left"/>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甲方（项目采购人）：</w:t>
      </w:r>
      <w:r/>
    </w:p>
    <w:p>
      <w:pPr>
        <w:jc w:val="left"/>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 </w:t>
      </w:r>
      <w:r>
        <w:rPr>
          <w:rFonts w:hint="eastAsia" w:ascii="宋体" w:hAnsi="宋体" w:eastAsia="宋体" w:cs="宋体"/>
          <w:color w:val="000000" w:themeColor="text1"/>
          <w:sz w:val="24"/>
          <w:szCs w:val="24"/>
          <w:highlight w:val="none"/>
          <w14:textFill>
            <w14:solidFill>
              <w14:schemeClr w14:val="tx1"/>
            </w14:solidFill>
          </w14:textFill>
        </w:rPr>
        <w:tab/>
      </w:r>
      <w:r/>
    </w:p>
    <w:p>
      <w:pPr>
        <w:jc w:val="left"/>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单位地址： </w:t>
      </w:r>
      <w:r/>
    </w:p>
    <w:p>
      <w:pPr>
        <w:jc w:val="left"/>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w:t>
      </w:r>
      <w:r/>
    </w:p>
    <w:p>
      <w:pPr>
        <w:jc w:val="left"/>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jc w:val="left"/>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乙方（成交供应商）：</w:t>
      </w:r>
      <w:r/>
    </w:p>
    <w:p>
      <w:pPr>
        <w:jc w:val="left"/>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 </w:t>
      </w:r>
      <w:r>
        <w:rPr>
          <w:rFonts w:hint="eastAsia" w:ascii="宋体" w:hAnsi="宋体" w:eastAsia="宋体" w:cs="宋体"/>
          <w:color w:val="000000" w:themeColor="text1"/>
          <w:sz w:val="24"/>
          <w:szCs w:val="24"/>
          <w:highlight w:val="none"/>
          <w14:textFill>
            <w14:solidFill>
              <w14:schemeClr w14:val="tx1"/>
            </w14:solidFill>
          </w14:textFill>
        </w:rPr>
        <w:tab/>
      </w:r>
      <w:r/>
    </w:p>
    <w:p>
      <w:pPr>
        <w:jc w:val="left"/>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单位地址： </w:t>
      </w:r>
      <w:r/>
    </w:p>
    <w:p>
      <w:pPr>
        <w:jc w:val="left"/>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w:t>
      </w:r>
      <w:r/>
    </w:p>
    <w:p>
      <w:pPr>
        <w:jc w:val="left"/>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甲方所需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项目(项目名称)经</w:t>
      </w:r>
      <w:r>
        <w:rPr>
          <w:rFonts w:hint="eastAsia" w:ascii="宋体" w:hAnsi="宋体" w:eastAsia="宋体" w:cs="宋体"/>
          <w:color w:val="000000" w:themeColor="text1"/>
          <w:sz w:val="24"/>
          <w:szCs w:val="24"/>
          <w:highlight w:val="none"/>
          <w:u w:val="single"/>
          <w14:textFill>
            <w14:solidFill>
              <w14:schemeClr w14:val="tx1"/>
            </w14:solidFill>
          </w14:textFill>
        </w:rPr>
        <w:t xml:space="preserve">苏州正杰招投标咨询服务有限公司</w:t>
      </w:r>
      <w:r>
        <w:rPr>
          <w:rFonts w:hint="eastAsia" w:ascii="宋体" w:hAnsi="宋体" w:eastAsia="宋体" w:cs="宋体"/>
          <w:color w:val="000000" w:themeColor="text1"/>
          <w:sz w:val="24"/>
          <w:szCs w:val="24"/>
          <w:highlight w:val="none"/>
          <w14:textFill>
            <w14:solidFill>
              <w14:schemeClr w14:val="tx1"/>
            </w14:solidFill>
          </w14:textFill>
        </w:rPr>
        <w:t xml:space="preserve">以竞争性磋商方式进行采购，并依法确定乙方为成交供应商。根据《中华人民共和国民法典》和《中华人民共和国政府采购法》等有关法律法规，为明确采购人（甲方）和成交供应商（乙方）采购过程中的权利、义务和经济责任，双方遵循平等、自愿、公平和诚实信用原则，经友好协商，同意按照下面的条款和条件订立本合同，以资共同遵守。</w:t>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一、合同文件</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以下文件是构成本合同不可分割的部分：</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（一）本项目采购文件；</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（二）成交供应商响应文件；</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（三）合同条款；</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（四）成交供应商做出的有关澄清、说明或者补正文件（若有）；</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（五）确定成交供应商的文件（包括但不限于成交通知书等）；</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（六）本合同附件（若有）。</w:t>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二、服务要求</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本合同项下乙方所提供的服务内容为：详见采购文件中的采购需求。</w:t>
      </w:r>
      <w:r/>
    </w:p>
    <w:p>
      <w:pPr>
        <w:numPr>
          <w:ilvl w:val="0"/>
          <w:numId w:val="2"/>
        </w:num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合同金额</w:t>
      </w:r>
      <w:r/>
    </w:p>
    <w:p>
      <w:pPr>
        <w:ind w:firstLine="482"/>
        <w:spacing w:line="360" w:lineRule="auto"/>
        <w:rPr>
          <w:rFonts w:ascii="宋体" w:hAnsi="宋体" w:eastAsia="宋体"/>
          <w:b/>
          <w:bCs/>
          <w:color w:val="000000" w:themeColor="text1"/>
          <w:sz w:val="24"/>
          <w:szCs w:val="24"/>
          <w:highlight w:val="none"/>
          <w14:textFill>
            <w14:solidFill>
              <w14:schemeClr w14:val="tx1"/>
            </w14:solidFill>
          </w14:textFill>
        </w:rPr>
      </w:pPr>
      <w:r/>
      <w:bookmarkStart w:id="8" w:name="_Hlk56427584"/>
      <w:r>
        <w:rPr>
          <w:rFonts w:hint="eastAsia" w:ascii="宋体" w:hAnsi="宋体" w:eastAsia="宋体"/>
          <w:b/>
          <w:bCs/>
          <w:color w:val="000000" w:themeColor="text1"/>
          <w:sz w:val="24"/>
          <w:szCs w:val="24"/>
          <w:highlight w:val="none"/>
          <w14:textFill>
            <w14:solidFill>
              <w14:schemeClr w14:val="tx1"/>
            </w14:solidFill>
          </w14:textFill>
        </w:rPr>
        <w:t xml:space="preserve">合同结算</w:t>
      </w: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优惠率</w:t>
      </w:r>
      <w:r>
        <w:rPr>
          <w:rFonts w:hint="eastAsia" w:ascii="宋体" w:hAnsi="宋体" w:eastAsia="宋体"/>
          <w:b/>
          <w:bCs/>
          <w:color w:val="000000" w:themeColor="text1"/>
          <w:sz w:val="24"/>
          <w:szCs w:val="24"/>
          <w:highlight w:val="none"/>
          <w14:textFill>
            <w14:solidFill>
              <w14:schemeClr w14:val="tx1"/>
            </w14:solidFill>
          </w14:textFill>
        </w:rPr>
        <w:t xml:space="preserve">为</w:t>
      </w:r>
      <w:r>
        <w:rPr>
          <w:rFonts w:ascii="宋体" w:hAnsi="宋体" w:eastAsia="宋体"/>
          <w:b/>
          <w:bCs/>
          <w:color w:val="000000" w:themeColor="text1"/>
          <w:sz w:val="24"/>
          <w:szCs w:val="24"/>
          <w:highlight w:val="none"/>
          <w:u w:val="single"/>
          <w14:textFill>
            <w14:solidFill>
              <w14:schemeClr w14:val="tx1"/>
            </w14:solidFill>
          </w14:textFill>
        </w:rPr>
        <w:t xml:space="preserve">   </w:t>
      </w:r>
      <w:r>
        <w:rPr>
          <w:rFonts w:hint="eastAsia" w:ascii="宋体" w:hAnsi="宋体" w:eastAsia="宋体"/>
          <w:b/>
          <w:bCs/>
          <w:color w:val="000000" w:themeColor="text1"/>
          <w:sz w:val="24"/>
          <w:szCs w:val="24"/>
          <w:highlight w:val="none"/>
          <w:u w:val="single"/>
          <w:lang w:val="en-US" w:eastAsia="zh-CN"/>
          <w14:textFill>
            <w14:solidFill>
              <w14:schemeClr w14:val="tx1"/>
            </w14:solidFill>
          </w14:textFill>
        </w:rPr>
        <w:t xml:space="preserve"> </w:t>
      </w:r>
      <w:r>
        <w:rPr>
          <w:rFonts w:ascii="宋体" w:hAnsi="宋体" w:eastAsia="宋体"/>
          <w:b/>
          <w:bCs/>
          <w:color w:val="000000" w:themeColor="text1"/>
          <w:sz w:val="24"/>
          <w:szCs w:val="24"/>
          <w:highlight w:val="none"/>
          <w:u w:val="single"/>
          <w14:textFill>
            <w14:solidFill>
              <w14:schemeClr w14:val="tx1"/>
            </w14:solidFill>
          </w14:textFill>
        </w:rPr>
        <w:t xml:space="preserve">  </w:t>
      </w:r>
      <w:r>
        <w:rPr>
          <w:rFonts w:ascii="宋体" w:hAnsi="宋体" w:eastAsia="宋体"/>
          <w:b/>
          <w:bCs/>
          <w:color w:val="000000" w:themeColor="text1"/>
          <w:sz w:val="24"/>
          <w:szCs w:val="24"/>
          <w:highlight w:val="none"/>
          <w14:textFill>
            <w14:solidFill>
              <w14:schemeClr w14:val="tx1"/>
            </w14:solidFill>
          </w14:textFill>
        </w:rPr>
        <w:t xml:space="preserve">％；</w:t>
      </w:r>
      <w:r/>
    </w:p>
    <w:p>
      <w:pPr>
        <w:ind w:firstLine="482"/>
        <w:spacing w:line="360" w:lineRule="auto"/>
        <w:rPr>
          <w:rFonts w:hint="default" w:eastAsia="宋体"/>
          <w:color w:val="000000" w:themeColor="text1"/>
          <w:highlight w:val="none"/>
          <w:lang w:val="en-US" w:eastAsia="zh-CN"/>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 xml:space="preserve">合同金额（预算金额）为</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人民币          元，大写：        。</w:t>
      </w:r>
      <w:r/>
    </w:p>
    <w:p>
      <w:pPr>
        <w:ind w:firstLine="482"/>
        <w:spacing w:line="360" w:lineRule="auto"/>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 xml:space="preserve">合同金额</w:t>
      </w:r>
      <w:r>
        <w:rPr>
          <w:rFonts w:ascii="宋体" w:hAnsi="宋体" w:eastAsia="宋体"/>
          <w:b/>
          <w:bCs/>
          <w:color w:val="000000" w:themeColor="text1"/>
          <w:sz w:val="24"/>
          <w:szCs w:val="24"/>
          <w:highlight w:val="none"/>
          <w14:textFill>
            <w14:solidFill>
              <w14:schemeClr w14:val="tx1"/>
            </w14:solidFill>
          </w14:textFill>
        </w:rPr>
        <w:t xml:space="preserve">包括</w:t>
      </w:r>
      <w:r>
        <w:rPr>
          <w:rFonts w:hint="eastAsia" w:ascii="宋体" w:hAnsi="宋体" w:eastAsia="宋体" w:cs="宋体"/>
          <w:b/>
          <w:bCs/>
          <w:color w:val="000000" w:themeColor="text1"/>
          <w:sz w:val="24"/>
          <w:szCs w:val="24"/>
          <w:highlight w:val="none"/>
          <w14:textFill>
            <w14:solidFill>
              <w14:schemeClr w14:val="tx1"/>
            </w14:solidFill>
          </w14:textFill>
        </w:rPr>
        <w:t xml:space="preserve">完成所有采购内容以及</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本项目所需的人工、检测、运输、试剂耗材、保险、管理、利润、税金、代理服务费、政策性文件规定及合同包含的所有风险、责任、</w:t>
      </w:r>
      <w:r>
        <w:rPr>
          <w:rFonts w:hint="eastAsia" w:ascii="宋体" w:hAnsi="宋体" w:eastAsia="宋体" w:cs="宋体"/>
          <w:b/>
          <w:bCs/>
          <w:color w:val="000000" w:themeColor="text1"/>
          <w:sz w:val="24"/>
          <w:szCs w:val="24"/>
          <w:highlight w:val="none"/>
          <w14:textFill>
            <w14:solidFill>
              <w14:schemeClr w14:val="tx1"/>
            </w14:solidFill>
          </w14:textFill>
        </w:rPr>
        <w:t xml:space="preserve">医院平台各系统（如HIS系统、LIS系统等）的接口费用；与现有设备、软件系统对接费用</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等各项应有费用。</w:t>
      </w:r>
      <w:r>
        <w:rPr>
          <w:rFonts w:hint="eastAsia" w:ascii="宋体" w:hAnsi="宋体" w:eastAsia="宋体" w:cs="宋体"/>
          <w:b/>
          <w:bCs/>
          <w:color w:val="000000" w:themeColor="text1"/>
          <w:sz w:val="24"/>
          <w:szCs w:val="24"/>
          <w:highlight w:val="none"/>
          <w14:textFill>
            <w14:solidFill>
              <w14:schemeClr w14:val="tx1"/>
            </w14:solidFill>
          </w14:textFill>
        </w:rPr>
        <w:t xml:space="preserve">除非因特殊原因并经双方协商同意，乙方不得再要求追加任何费用。同时，除非合同条款中另有规定，否则，乙方所报价格在合同实施期间不因市场变化因素而变动。</w:t>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四、付款约定</w:t>
      </w:r>
      <w:bookmarkEnd w:id="8"/>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甲方根据乙方在本合同中所提供银行开户信息转账支付。</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乙方银行账户如需变更，应至少于付款期限届满前10个工作日书面通知甲方，否则产生的一切责任、因变更引起的额外费用由乙方承担。</w:t>
      </w:r>
      <w:r/>
    </w:p>
    <w:p>
      <w:pPr>
        <w:numPr>
          <w:ilvl w:val="0"/>
          <w:numId w:val="0"/>
        </w:num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付款步骤：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合同生效后，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bCs/>
          <w:color w:val="000000" w:themeColor="text1"/>
          <w:sz w:val="24"/>
          <w:szCs w:val="24"/>
          <w:highlight w:val="none"/>
          <w14:textFill>
            <w14:solidFill>
              <w14:schemeClr w14:val="tx1"/>
            </w14:solidFill>
          </w14:textFill>
        </w:rPr>
        <w:t xml:space="preserve">完成检验后，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每月的10日前，双方将上月检测清单的数量进行汇总，核对制表，并经双方签字确认后，服务公司再开具发票送达甲方审批，审批完成后30日内支付上月款项。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"E:\\U 盘\\迪安的盘\\标书\\漕湖2\\SZWK2020-Z-G-022检测外包服务招标文件.doc"</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注：（1）乙方接受甲方考核，具体考核标准在签订合同时具体商定。甲方视考核得分支付服务费用。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3、付款方式：银行汇票或转账。</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乙方开户名称：</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开户银行：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银行账号：</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五、服务履行地点、期限</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1、服务履行地点：</w:t>
      </w:r>
      <w:r>
        <w:rPr>
          <w:rFonts w:hint="eastAsia" w:ascii="宋体" w:hAnsi="宋体" w:eastAsia="宋体" w:cs="宋体"/>
          <w:bCs/>
          <w:color w:val="000000" w:themeColor="text1"/>
          <w:sz w:val="24"/>
          <w:szCs w:val="24"/>
          <w:highlight w:val="none"/>
          <w14:textFill>
            <w14:solidFill>
              <w14:schemeClr w14:val="tx1"/>
            </w14:solidFill>
          </w14:textFill>
        </w:rPr>
        <w:t xml:space="preserve">甲方指定地点</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w:t>
      </w:r>
      <w:r/>
    </w:p>
    <w:p>
      <w:pPr>
        <w:ind w:firstLine="480"/>
        <w:spacing w:line="360" w:lineRule="auto"/>
        <w:rPr>
          <w:rFonts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）服务</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履行</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期限</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自合同签订之日起</w:t>
      </w:r>
      <w:r>
        <w:rPr>
          <w:rFonts w:hint="eastAsia" w:ascii="宋体" w:hAnsi="宋体" w:eastAsia="宋体" w:cs="宋体"/>
          <w:color w:val="000000" w:themeColor="text1"/>
          <w:sz w:val="24"/>
          <w:highlight w:val="none"/>
          <w:lang w:eastAsia="zh-CN"/>
          <w14:textFill>
            <w14:solidFill>
              <w14:schemeClr w14:val="tx1"/>
            </w14:solidFill>
          </w14:textFill>
        </w:rPr>
        <w:t xml:space="preserve">二年</w:t>
      </w:r>
      <w:r>
        <w:rPr>
          <w:rFonts w:hint="eastAsia" w:ascii="宋体" w:hAnsi="宋体" w:eastAsia="宋体" w:cs="宋体"/>
          <w:color w:val="000000" w:themeColor="text1"/>
          <w:sz w:val="24"/>
          <w:highlight w:val="none"/>
          <w:lang w:eastAsia="zh-CN"/>
          <w14:textFill>
            <w14:solidFill>
              <w14:schemeClr w14:val="tx1"/>
            </w14:solidFill>
          </w14:textFill>
        </w:rPr>
        <w:t xml:space="preserve">（具体日期以采购人要求为准）；或实际结算合同金额达到预算总金额（二者中以先到者为准）。具体根据实际工作量进行结算。</w:t>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六、验收</w:t>
      </w:r>
      <w:r/>
    </w:p>
    <w:p>
      <w:pPr>
        <w:ind w:firstLine="480"/>
        <w:spacing w:line="360" w:lineRule="auto"/>
        <w:tabs>
          <w:tab w:val="left" w:pos="1134"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本项目</w:t>
      </w:r>
      <w:r>
        <w:rPr>
          <w:rFonts w:hint="eastAsia" w:ascii="宋体" w:hAnsi="宋体" w:eastAsia="宋体" w:cs="宋体"/>
          <w:color w:val="000000" w:themeColor="text1"/>
          <w:sz w:val="24"/>
          <w:szCs w:val="24"/>
          <w:highlight w:val="none"/>
          <w14:textFill>
            <w14:solidFill>
              <w14:schemeClr w14:val="tx1"/>
            </w14:solidFill>
          </w14:textFill>
        </w:rPr>
        <w:t xml:space="preserve">完成后由甲方组织。</w:t>
      </w:r>
      <w:r>
        <w:rPr>
          <w:rFonts w:hint="eastAsia" w:ascii="宋体" w:hAnsi="宋体" w:eastAsia="宋体" w:cs="宋体"/>
          <w:bCs/>
          <w:color w:val="000000" w:themeColor="text1"/>
          <w:sz w:val="24"/>
          <w:szCs w:val="24"/>
          <w:highlight w:val="none"/>
          <w14:textFill>
            <w14:solidFill>
              <w14:schemeClr w14:val="tx1"/>
            </w14:solidFill>
          </w14:textFill>
        </w:rPr>
        <w:t xml:space="preserve">具体验收时间由甲方确定，未明确的由双方进行商议确定。</w:t>
      </w:r>
      <w:r/>
    </w:p>
    <w:p>
      <w:pPr>
        <w:ind w:firstLine="480"/>
        <w:spacing w:line="360" w:lineRule="auto"/>
        <w:tabs>
          <w:tab w:val="left" w:pos="1134"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验收标准：按照招标文件中规定的采购内容和需求及乙方承诺的其他指标进行验收，验收标准必须符合相关国家、省、市标准。</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任一项验收不合格的，乙方应负责在甲方限定的期限内完成整改，因整改而导致的费用和损失由乙方自行承担，若导致项目逾期的，乙方承担逾期违约责任。项目经整改后仍不合格的，视为乙方违约，甲方可以单方解除本合同并要求乙方退还已支付的全部费用，由此造成甲方的损失由乙方承担赔偿（包括但不限于诉讼费、合理律师费等），且乙方无权要求返还履约保证金（如有）。</w:t>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七、服务质量</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乙方应保证提供给甲方的服务完全符合本项目采购文件规定的服务标准。</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乙方应保证提供的服务应符合中华人民共和国相关标准及相应的技术规范、本次采购相关文件中的全部相关要求及相关标准及相应的技术规范中之较高者。</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乙方保证提供的服务符合中华人民共和国国家及行业的安全质量标准、环保标准中之较高者。</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乙方保证，乙方依据本合同提供的服务及相关的软件和技术资料，乙方均已得到有关知识产权的权利人的合法授权，如发生涉及到专利权、著作权、商标权等争议，乙方负责处理，并承担由此引起的全部法律及经济责任。</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p>
    <w:p>
      <w:pPr>
        <w:pStyle w:val="954"/>
        <w:ind w:left="0" w:firstLine="480"/>
        <w:spacing w:line="360" w:lineRule="auto"/>
        <w:rPr>
          <w:rFonts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4"/>
          <w:highlight w:val="none"/>
          <w14:textFill>
            <w14:solidFill>
              <w14:schemeClr w14:val="tx1"/>
            </w14:solidFill>
          </w14:textFill>
        </w:rPr>
        <w:t xml:space="preserve">乙方应落实</w:t>
      </w:r>
      <w:r>
        <w:rPr>
          <w:rFonts w:ascii="宋体" w:hAnsi="宋体" w:eastAsia="宋体" w:cs="宋体"/>
          <w:bCs/>
          <w:color w:val="000000" w:themeColor="text1"/>
          <w:szCs w:val="24"/>
          <w:highlight w:val="none"/>
          <w14:textFill>
            <w14:solidFill>
              <w14:schemeClr w14:val="tx1"/>
            </w14:solidFill>
          </w14:textFill>
        </w:rPr>
        <w:t xml:space="preserve">各项安全生产规定</w:t>
      </w:r>
      <w:r>
        <w:rPr>
          <w:rFonts w:hint="eastAsia" w:ascii="宋体" w:hAnsi="宋体" w:eastAsia="宋体" w:cs="宋体"/>
          <w:bCs/>
          <w:color w:val="000000" w:themeColor="text1"/>
          <w:szCs w:val="24"/>
          <w:highlight w:val="none"/>
          <w14:textFill>
            <w14:solidFill>
              <w14:schemeClr w14:val="tx1"/>
            </w14:solidFill>
          </w14:textFill>
        </w:rPr>
        <w:t xml:space="preserve">，做好安全生产培训，人员在工作期间所产生的一切劳资、工伤纠纷及各类安全事故，皆由乙方全权负责并承担，与甲方不发生任何关系。</w:t>
      </w:r>
      <w:r/>
    </w:p>
    <w:p>
      <w:pPr>
        <w:pStyle w:val="954"/>
        <w:ind w:left="0" w:firstLine="480"/>
        <w:spacing w:line="360" w:lineRule="auto"/>
        <w:rPr>
          <w:rFonts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Cs w:val="24"/>
          <w:highlight w:val="none"/>
          <w14:textFill>
            <w14:solidFill>
              <w14:schemeClr w14:val="tx1"/>
            </w14:solidFill>
          </w14:textFill>
        </w:rPr>
        <w:t xml:space="preserve">乙方保证合同履行过程中，乙方原因致使第三人（包括但不限于甲方工作人员、乙方工作人员及其他任意第三人）遭受人身损害、财产损失的，</w:t>
      </w:r>
      <w:r>
        <w:rPr>
          <w:rFonts w:hint="eastAsia" w:ascii="宋体" w:hAnsi="宋体" w:eastAsia="宋体" w:cs="宋体"/>
          <w:color w:val="000000" w:themeColor="text1"/>
          <w:szCs w:val="24"/>
          <w:highlight w:val="none"/>
          <w:lang w:bidi="ar"/>
          <w14:textFill>
            <w14:solidFill>
              <w14:schemeClr w14:val="tx1"/>
            </w14:solidFill>
          </w14:textFill>
        </w:rPr>
        <w:t xml:space="preserve">均由乙方负责处理并承担全部赔偿责任。甲方因此产生的损失，甲方有权向乙方全额追偿。</w:t>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八、履约保证金</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本项目：</w:t>
      </w:r>
      <w:r>
        <w:rPr>
          <w:rFonts w:ascii="Wingdings 2" w:hAnsi="Wingdings 2" w:eastAsia="Wingdings 2" w:cs="Wingdings 2"/>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不要求提交履约保证金</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ascii="Wingdings 2" w:hAnsi="Wingdings 2" w:eastAsia="Wingdings 2" w:cs="Wingdings 2"/>
          <w:bCs/>
          <w:color w:val="000000" w:themeColor="text1"/>
          <w:sz w:val="24"/>
          <w:szCs w:val="24"/>
          <w:highlight w:val="none"/>
          <w14:textFill>
            <w14:solidFill>
              <w14:schemeClr w14:val="tx1"/>
            </w14:solidFill>
          </w14:textFill>
        </w:rPr>
        <w:t xml:space="preserve">R</w:t>
      </w:r>
      <w:r>
        <w:rPr>
          <w:rFonts w:hint="eastAsia" w:ascii="宋体" w:hAnsi="宋体" w:eastAsia="宋体" w:cs="宋体"/>
          <w:bCs/>
          <w:color w:val="000000" w:themeColor="text1"/>
          <w:sz w:val="24"/>
          <w:szCs w:val="24"/>
          <w:highlight w:val="none"/>
          <w14:textFill>
            <w14:solidFill>
              <w14:schemeClr w14:val="tx1"/>
            </w14:solidFill>
          </w14:textFill>
        </w:rPr>
        <w:t xml:space="preserve">要求提交履约保证金，金额：合同金额（预算金额）的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0%，要求如下：</w:t>
      </w:r>
      <w:r/>
    </w:p>
    <w:p>
      <w:pPr>
        <w:numPr>
          <w:ilvl w:val="0"/>
          <w:numId w:val="3"/>
        </w:num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在签订合同前，成交单位应当以支票、汇票、本票或者金融机构、担保机构出具的保函等非现金形式提交。</w:t>
      </w:r>
      <w:r/>
    </w:p>
    <w:p>
      <w:pPr>
        <w:numPr>
          <w:ilvl w:val="0"/>
          <w:numId w:val="0"/>
        </w:num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2、成交单位无故拖延或拒不提交履约保证金的，视为拒绝与采购人签订合同。</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3、履约保证金将在成交供应商合同履行完毕且验收合格后，采购人在五个工作日内退返成交供应商。</w:t>
      </w:r>
      <w:r/>
    </w:p>
    <w:p>
      <w:pPr>
        <w:ind w:firstLine="480"/>
        <w:spacing w:line="360" w:lineRule="auto"/>
        <w:rPr>
          <w:b/>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4、履约保证金（无息）在服务期满且服务缺陷更正，并配合甲方和新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Cs/>
          <w:color w:val="000000" w:themeColor="text1"/>
          <w:sz w:val="24"/>
          <w:szCs w:val="24"/>
          <w:highlight w:val="none"/>
          <w14:textFill>
            <w14:solidFill>
              <w14:schemeClr w14:val="tx1"/>
            </w14:solidFill>
          </w14:textFill>
        </w:rPr>
        <w:t xml:space="preserve">单位办理移交手续后退还。如乙方对服务缺陷不予更正，甲方有权另请其他单位更正，所发生的费用在履约保证金中扣除。</w:t>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九、违约责任</w:t>
      </w:r>
      <w:r/>
    </w:p>
    <w:p>
      <w:pPr>
        <w:ind w:firstLine="482"/>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延期责任</w:t>
      </w:r>
      <w:r/>
    </w:p>
    <w:p>
      <w:pPr>
        <w:pStyle w:val="961"/>
        <w:rPr>
          <w:rFonts w:hint="eastAsia" w:hAnsi="宋体" w:cs="宋体"/>
          <w:bCs/>
          <w:color w:val="000000" w:themeColor="text1"/>
          <w:sz w:val="24"/>
          <w:szCs w:val="24"/>
          <w:highlight w:val="none"/>
          <w:lang w:val="en-US" w:eastAsia="zh-CN"/>
          <w14:textFill>
            <w14:solidFill>
              <w14:schemeClr w14:val="tx1"/>
            </w14:solidFill>
          </w14:textFill>
        </w:rPr>
      </w:pPr>
      <w:r>
        <w:rPr>
          <w:rFonts w:hint="eastAsia" w:hAnsi="宋体" w:cs="宋体"/>
          <w:bCs/>
          <w:color w:val="000000" w:themeColor="text1"/>
          <w:sz w:val="24"/>
          <w:szCs w:val="24"/>
          <w:highlight w:val="none"/>
          <w:lang w:val="en-US" w:eastAsia="zh-CN"/>
          <w14:textFill>
            <w14:solidFill>
              <w14:schemeClr w14:val="tx1"/>
            </w14:solidFill>
          </w14:textFill>
        </w:rPr>
        <w:t xml:space="preserve">1、如因甲方提供的样本及相关临床资料不合格或未能按时提供等原因导致的检测延误，由甲方自行承担责任，因乙方未尽临床培训等相关义务造成上述结果的情形除外。</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2、如因乙方原因（包括实验室内样本丢失、检测、出具报告等环节）不能按时提供检测结果导致的出具检测报告延误，每份由乙方按合同金额的万分之四承担违约责任。</w:t>
      </w:r>
      <w:r/>
    </w:p>
    <w:p>
      <w:pPr>
        <w:pStyle w:val="961"/>
        <w:rPr>
          <w:rFonts w:hint="eastAsia" w:hAnsi="宋体" w:cs="宋体"/>
          <w:bCs/>
          <w:color w:val="000000" w:themeColor="text1"/>
          <w:sz w:val="24"/>
          <w:szCs w:val="24"/>
          <w:highlight w:val="none"/>
          <w:lang w:val="en-US" w:eastAsia="zh-CN" w:bidi="ar-SA"/>
          <w14:textFill>
            <w14:solidFill>
              <w14:schemeClr w14:val="tx1"/>
            </w14:solidFill>
          </w14:textFill>
        </w:rPr>
      </w:pPr>
      <w:r>
        <w:rPr>
          <w:rFonts w:hint="eastAsia" w:hAnsi="宋体" w:cs="宋体"/>
          <w:bCs/>
          <w:color w:val="000000" w:themeColor="text1"/>
          <w:sz w:val="24"/>
          <w:szCs w:val="24"/>
          <w:highlight w:val="none"/>
          <w:lang w:val="en-US" w:eastAsia="zh-CN" w:bidi="ar-SA"/>
          <w14:textFill>
            <w14:solidFill>
              <w14:schemeClr w14:val="tx1"/>
            </w14:solidFill>
          </w14:textFill>
        </w:rPr>
        <w:t xml:space="preserve">3、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p>
    <w:p>
      <w:pPr>
        <w:pStyle w:val="961"/>
        <w:rPr>
          <w:rFonts w:hint="eastAsia" w:hAnsi="宋体" w:cs="宋体"/>
          <w:bCs/>
          <w:color w:val="000000" w:themeColor="text1"/>
          <w:sz w:val="24"/>
          <w:szCs w:val="24"/>
          <w:highlight w:val="none"/>
          <w:lang w:val="en-US" w:eastAsia="zh-CN" w:bidi="ar-SA"/>
          <w14:textFill>
            <w14:solidFill>
              <w14:schemeClr w14:val="tx1"/>
            </w14:solidFill>
          </w14:textFill>
        </w:rPr>
      </w:pPr>
      <w:r>
        <w:rPr>
          <w:rFonts w:hint="eastAsia" w:hAnsi="宋体" w:cs="宋体"/>
          <w:bCs/>
          <w:color w:val="000000" w:themeColor="text1"/>
          <w:sz w:val="24"/>
          <w:szCs w:val="24"/>
          <w:highlight w:val="none"/>
          <w:lang w:val="en-US" w:eastAsia="zh-CN" w:bidi="ar-SA"/>
          <w14:textFill>
            <w14:solidFill>
              <w14:schemeClr w14:val="tx1"/>
            </w14:solidFill>
          </w14:textFill>
        </w:rPr>
        <w:t xml:space="preserve">4、不可抗拒的客观因素导致项目延误或合同不能继续履行时，双方均不承担责任。受到不可抗力影响的一方应当及时书面通知另一方，并出具证明材料。不可抗拒力包括地震、洪水、战争、军事行动、法律或政府政策等相关因素。</w:t>
      </w:r>
      <w:r/>
    </w:p>
    <w:p>
      <w:pPr>
        <w:pStyle w:val="961"/>
        <w:rPr>
          <w:rFonts w:hint="eastAsia" w:hAnsi="宋体" w:cs="宋体"/>
          <w:bCs/>
          <w:color w:val="000000" w:themeColor="text1"/>
          <w:sz w:val="24"/>
          <w:szCs w:val="24"/>
          <w:highlight w:val="none"/>
          <w:lang w:val="en-US" w:eastAsia="zh-CN" w:bidi="ar-SA"/>
          <w14:textFill>
            <w14:solidFill>
              <w14:schemeClr w14:val="tx1"/>
            </w14:solidFill>
          </w14:textFill>
        </w:rPr>
      </w:pPr>
      <w:r>
        <w:rPr>
          <w:rFonts w:hint="eastAsia" w:hAnsi="宋体" w:cs="宋体"/>
          <w:bCs/>
          <w:color w:val="000000" w:themeColor="text1"/>
          <w:sz w:val="24"/>
          <w:szCs w:val="24"/>
          <w:highlight w:val="none"/>
          <w:lang w:val="en-US" w:eastAsia="zh-CN" w:bidi="ar-SA"/>
          <w14:textFill>
            <w14:solidFill>
              <w14:schemeClr w14:val="tx1"/>
            </w14:solidFill>
          </w14:textFill>
        </w:rPr>
        <w:t xml:space="preserve">5、特殊情况下，需要重新取样进行重新检测的，取样和检测均不重复收费。如遇无法出具报告的案例，由甲方负责退回受检者相应的检测费用，这种情形下甲方无需就该样本向乙方支付检测费用。</w:t>
      </w:r>
      <w:r/>
    </w:p>
    <w:p>
      <w:pPr>
        <w:ind w:firstLine="482"/>
        <w:spacing w:line="360" w:lineRule="auto"/>
        <w:rPr>
          <w:rFonts w:hint="default"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（二）检测结果的争议</w:t>
      </w:r>
      <w:r/>
    </w:p>
    <w:p>
      <w:pPr>
        <w:pStyle w:val="961"/>
        <w:rPr>
          <w:rFonts w:hint="eastAsia" w:hAnsi="宋体" w:cs="宋体"/>
          <w:bCs/>
          <w:color w:val="000000" w:themeColor="text1"/>
          <w:sz w:val="24"/>
          <w:szCs w:val="24"/>
          <w:highlight w:val="none"/>
          <w:lang w:val="en-US" w:eastAsia="zh-CN" w:bidi="ar-SA"/>
          <w14:textFill>
            <w14:solidFill>
              <w14:schemeClr w14:val="tx1"/>
            </w14:solidFill>
          </w14:textFill>
        </w:rPr>
      </w:pPr>
      <w:r>
        <w:rPr>
          <w:rFonts w:hint="eastAsia" w:hAnsi="宋体" w:cs="宋体"/>
          <w:bCs/>
          <w:color w:val="000000" w:themeColor="text1"/>
          <w:sz w:val="24"/>
          <w:szCs w:val="24"/>
          <w:highlight w:val="none"/>
          <w:lang w:val="en-US" w:eastAsia="zh-CN" w:bidi="ar-SA"/>
          <w14:textFill>
            <w14:solidFill>
              <w14:schemeClr w14:val="tx1"/>
            </w14:solidFill>
          </w14:textFill>
        </w:rPr>
        <w:t xml:space="preserve">1、乙方保证对甲方送检的合格样本收费按照甲方申请的检测方法进行检测并对检测结果的质量承担责任。</w:t>
      </w:r>
      <w:r/>
    </w:p>
    <w:p>
      <w:pPr>
        <w:pStyle w:val="961"/>
        <w:rPr>
          <w:rFonts w:hint="eastAsia" w:hAnsi="宋体" w:cs="宋体"/>
          <w:bCs/>
          <w:color w:val="000000" w:themeColor="text1"/>
          <w:sz w:val="24"/>
          <w:szCs w:val="24"/>
          <w:highlight w:val="none"/>
          <w:lang w:val="en-US" w:eastAsia="zh-CN" w:bidi="ar-SA"/>
          <w14:textFill>
            <w14:solidFill>
              <w14:schemeClr w14:val="tx1"/>
            </w14:solidFill>
          </w14:textFill>
        </w:rPr>
      </w:pPr>
      <w:r>
        <w:rPr>
          <w:rFonts w:hint="eastAsia" w:hAnsi="宋体" w:cs="宋体"/>
          <w:bCs/>
          <w:color w:val="000000" w:themeColor="text1"/>
          <w:sz w:val="24"/>
          <w:szCs w:val="24"/>
          <w:highlight w:val="none"/>
          <w:lang w:val="en-US" w:eastAsia="zh-CN" w:bidi="ar-SA"/>
          <w14:textFill>
            <w14:solidFill>
              <w14:schemeClr w14:val="tx1"/>
            </w14:solidFill>
          </w14:textFill>
        </w:rPr>
        <w:t xml:space="preserve">2、乙方保证在技术检测范围内完成全部检测内容。但是乙方在相应知情同意书上已标注的所有检测技术仍然不能全面覆盖生物复杂性的具体情形，乙方不承担责任。</w:t>
      </w:r>
      <w:r/>
    </w:p>
    <w:p>
      <w:pPr>
        <w:pStyle w:val="961"/>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乙方承担相应责任。</w:t>
      </w:r>
      <w:r/>
    </w:p>
    <w:p>
      <w:pPr>
        <w:pStyle w:val="961"/>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甲方对乙方提交的检测结果有异议的应当在接受报告后3个工作日内提出。若甲方在上述期限内没有提出异议，乙方将视同甲方完全接受检测结果。如因乙方检测结果有误经认定为乙方责任的，因此造成的医疗纠纷由乙方负责（不因甲方接受检测结果而免除乙方责任），如因乙方提供的知情同意书不全面并由此造成的医疗纠纷由乙方自行承担。</w:t>
      </w:r>
      <w:r/>
    </w:p>
    <w:p>
      <w:pPr>
        <w:ind w:firstLine="482"/>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（三）违反保密义务</w:t>
      </w:r>
      <w:r/>
    </w:p>
    <w:p>
      <w:pPr>
        <w:pStyle w:val="961"/>
        <w:rPr>
          <w:rFonts w:hint="eastAsia" w:hAnsi="宋体" w:cs="宋体"/>
          <w:b w:val="0"/>
          <w:bCs/>
          <w:color w:val="000000" w:themeColor="text1"/>
          <w:sz w:val="24"/>
          <w:szCs w:val="24"/>
          <w:highlight w:val="none"/>
          <w:lang w:val="en-US" w:eastAsia="zh-CN"/>
          <w14:textFill>
            <w14:solidFill>
              <w14:schemeClr w14:val="tx1"/>
            </w14:solidFill>
          </w14:textFill>
        </w:rPr>
      </w:pPr>
      <w:r>
        <w:rPr>
          <w:rFonts w:hint="eastAsia" w:hAnsi="宋体" w:cs="宋体"/>
          <w:b w:val="0"/>
          <w:bCs/>
          <w:color w:val="000000" w:themeColor="text1"/>
          <w:sz w:val="24"/>
          <w:szCs w:val="24"/>
          <w:highlight w:val="none"/>
          <w:lang w:val="en-US" w:eastAsia="zh-CN"/>
          <w14:textFill>
            <w14:solidFill>
              <w14:schemeClr w14:val="tx1"/>
            </w14:solidFill>
          </w14:textFill>
        </w:rPr>
        <w:t xml:space="preserve">甲乙双方如有违反本合同第十一条保密义务的任何规定，则违约方须及时采取措施防止守约方损失扩大，赔偿守约方相关损失并</w:t>
      </w:r>
      <w:r>
        <w:rPr>
          <w:rFonts w:hint="eastAsia"/>
          <w:b w:val="0"/>
          <w:bCs w:val="0"/>
          <w:color w:val="000000" w:themeColor="text1"/>
          <w:highlight w:val="none"/>
          <w:lang w:val="en-US" w:eastAsia="zh-CN"/>
          <w14:textFill>
            <w14:solidFill>
              <w14:schemeClr w14:val="tx1"/>
            </w14:solidFill>
          </w14:textFill>
        </w:rPr>
        <w:t xml:space="preserve">支付合同金额的20%作为违约金</w:t>
      </w:r>
      <w:r>
        <w:rPr>
          <w:rFonts w:hint="eastAsia" w:hAnsi="宋体" w:cs="宋体"/>
          <w:b w:val="0"/>
          <w:bCs/>
          <w:color w:val="000000" w:themeColor="text1"/>
          <w:sz w:val="24"/>
          <w:szCs w:val="24"/>
          <w:highlight w:val="none"/>
          <w:lang w:val="en-US" w:eastAsia="zh-CN"/>
          <w14:textFill>
            <w14:solidFill>
              <w14:schemeClr w14:val="tx1"/>
            </w14:solidFill>
          </w14:textFill>
        </w:rPr>
        <w:t xml:space="preserve">。因违反保密条款引发侵权责任诉讼或赔偿事项的由违约方承担侵权法律责任。</w:t>
      </w:r>
      <w:r/>
    </w:p>
    <w:p>
      <w:pPr>
        <w:numPr>
          <w:ilvl w:val="0"/>
          <w:numId w:val="4"/>
        </w:numPr>
        <w:ind w:firstLine="482"/>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禁止转包、分包</w:t>
      </w:r>
      <w:r/>
    </w:p>
    <w:p>
      <w:pPr>
        <w:pStyle w:val="961"/>
        <w:numPr>
          <w:ilvl w:val="0"/>
          <w:numId w:val="0"/>
        </w:numPr>
        <w:ind w:firstLine="48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乙方应亲自履行合同义务，不得将检测项目转包、分包给第三方进行检测。如乙方未经甲方同意，将样本送至第三方检测的，每发现一次计算一次违约责任，</w:t>
      </w:r>
      <w:r>
        <w:rPr>
          <w:rFonts w:hint="eastAsia"/>
          <w:b w:val="0"/>
          <w:bCs w:val="0"/>
          <w:color w:val="000000" w:themeColor="text1"/>
          <w:highlight w:val="none"/>
          <w:lang w:val="en-US" w:eastAsia="zh-CN"/>
          <w14:textFill>
            <w14:solidFill>
              <w14:schemeClr w14:val="tx1"/>
            </w14:solidFill>
          </w14:textFill>
        </w:rPr>
        <w:t xml:space="preserve">每次按合同金额的5%</w:t>
      </w:r>
      <w:r>
        <w:rPr>
          <w:rFonts w:hint="eastAsia"/>
          <w:color w:val="000000" w:themeColor="text1"/>
          <w:highlight w:val="none"/>
          <w:lang w:val="en-US" w:eastAsia="zh-CN"/>
          <w14:textFill>
            <w14:solidFill>
              <w14:schemeClr w14:val="tx1"/>
            </w14:solidFill>
          </w14:textFill>
        </w:rPr>
        <w:t xml:space="preserve">承担违约责任。</w:t>
      </w:r>
      <w:r/>
    </w:p>
    <w:p>
      <w:pPr>
        <w:ind w:firstLine="482"/>
        <w:spacing w:line="360" w:lineRule="auto"/>
        <w:rPr>
          <w:rFonts w:hint="default"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（五）检测不准确、不真实的责任承担</w:t>
      </w:r>
      <w:r/>
    </w:p>
    <w:p>
      <w:pPr>
        <w:pStyle w:val="961"/>
        <w:rPr>
          <w:rFonts w:hint="default" w:hAnsi="宋体" w:cs="宋体"/>
          <w:b w:val="0"/>
          <w:bCs/>
          <w:color w:val="000000" w:themeColor="text1"/>
          <w:sz w:val="24"/>
          <w:szCs w:val="24"/>
          <w:highlight w:val="none"/>
          <w:lang w:val="en-US" w:eastAsia="zh-CN" w:bidi="ar-SA"/>
          <w14:textFill>
            <w14:solidFill>
              <w14:schemeClr w14:val="tx1"/>
            </w14:solidFill>
          </w14:textFill>
        </w:rPr>
      </w:pPr>
      <w:r>
        <w:rPr>
          <w:rFonts w:hint="eastAsia" w:hAnsi="宋体" w:cs="宋体"/>
          <w:b w:val="0"/>
          <w:bCs/>
          <w:color w:val="000000" w:themeColor="text1"/>
          <w:sz w:val="24"/>
          <w:szCs w:val="24"/>
          <w:highlight w:val="none"/>
          <w:lang w:val="en-US" w:eastAsia="zh-CN" w:bidi="ar-SA"/>
          <w14:textFill>
            <w14:solidFill>
              <w14:schemeClr w14:val="tx1"/>
            </w14:solidFill>
          </w14:textFill>
        </w:rPr>
        <w:t xml:space="preserve">如乙方出具的检测报告不准确或不真实，导致甲方对外承担包括但不限于民事赔偿、行政处罚等责任，应由乙方承担甲方经济损失等全部责任，并按最终经济损失的</w:t>
      </w:r>
      <w:r>
        <w:rPr>
          <w:rFonts w:hint="eastAsia"/>
          <w:b w:val="0"/>
          <w:bCs w:val="0"/>
          <w:color w:val="000000" w:themeColor="text1"/>
          <w:highlight w:val="none"/>
          <w:lang w:val="en-US" w:eastAsia="zh-CN"/>
          <w14:textFill>
            <w14:solidFill>
              <w14:schemeClr w14:val="tx1"/>
            </w14:solidFill>
          </w14:textFill>
        </w:rPr>
        <w:t xml:space="preserve">20%</w:t>
      </w:r>
      <w:r>
        <w:rPr>
          <w:rFonts w:hint="eastAsia" w:hAnsi="宋体" w:cs="宋体"/>
          <w:b w:val="0"/>
          <w:bCs/>
          <w:color w:val="000000" w:themeColor="text1"/>
          <w:sz w:val="24"/>
          <w:szCs w:val="24"/>
          <w:highlight w:val="none"/>
          <w:lang w:val="en-US" w:eastAsia="zh-CN" w:bidi="ar-SA"/>
          <w14:textFill>
            <w14:solidFill>
              <w14:schemeClr w14:val="tx1"/>
            </w14:solidFill>
          </w14:textFill>
        </w:rPr>
        <w:t xml:space="preserve">向甲方支付违约金。</w:t>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十、合同的解除和转让</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甲方和乙方协商一致，可以解除合同，并报政府采购监管部门审查备案。</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有下列情形之一，合同一方可以解除合同：</w:t>
      </w:r>
      <w:r/>
    </w:p>
    <w:p>
      <w:pPr>
        <w:ind w:firstLine="72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因不可抗力致使不能实现合同目的，未受不可抗力影响的一方有权解除合同；</w:t>
      </w:r>
      <w:r/>
    </w:p>
    <w:p>
      <w:pPr>
        <w:ind w:firstLine="72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采购文件约定的解除合同的情形。</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政府采购合同继续履行将损害国家利益和社会公共利益，甲方有权变更、中止或者终止、解除合同。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乙方提交的投标材料虚假，或者乙方故意隐瞒足以导致不能中标的事实被发现的，甲方可以单方解除本合同并要求乙方退还整个项目已支付的全部费用，由此造成甲方的损失由乙方承担赔偿（包括但不限于诉讼费、合理律师费等），且乙方无权要求返还履约保证金。</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本合同不得以任何形式转让，否则视为乙方违约，甲方可以单方解除本合同并要求乙方退还已支付的全部费用，由此造成甲方的损失由乙方承担赔偿（包括但不限于诉讼费、合理律师费等），且乙方无权要求返还履约保证金（如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本合同未经甲方书面同意不得分包，否则视为乙方违约，甲方可以单方解除本合同并要求乙方退还已支付的全部费用，由此造成甲方的损失由乙方承担赔偿（包括但不限于诉讼费、合理律师费等），且乙方无权要求返还履约保证金（如有）。</w:t>
      </w:r>
      <w:r/>
    </w:p>
    <w:p>
      <w:pPr>
        <w:pStyle w:val="961"/>
        <w:ind w:firstLine="480"/>
        <w:rPr>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hAnsi="宋体"/>
          <w:color w:val="000000" w:themeColor="text1"/>
          <w:szCs w:val="24"/>
          <w:highlight w:val="none"/>
          <w14:textFill>
            <w14:solidFill>
              <w14:schemeClr w14:val="tx1"/>
            </w14:solidFill>
          </w14:textFill>
        </w:rPr>
        <w:t xml:space="preserve">有权解除合同的一方，应当在违约事实或不可抗力发生之后书面通知对方以主张解除合同，合同在书面通知到达对方时解除。</w:t>
      </w:r>
      <w:r/>
    </w:p>
    <w:p>
      <w:pPr>
        <w:ind w:firstLine="482"/>
        <w:spacing w:line="360" w:lineRule="auto"/>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color w:val="000000" w:themeColor="text1"/>
          <w:sz w:val="24"/>
          <w:szCs w:val="24"/>
          <w:highlight w:val="none"/>
          <w14:textFill>
            <w14:solidFill>
              <w14:schemeClr w14:val="tx1"/>
            </w14:solidFill>
          </w14:textFill>
        </w:rPr>
        <w:t xml:space="preserve">、保密</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义务</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在合作期内及以后，合同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本合同条款和条件不相符合的任何目的。</w:t>
      </w:r>
      <w:r/>
    </w:p>
    <w:p>
      <w:pPr>
        <w:pStyle w:val="961"/>
        <w:rPr>
          <w:rFonts w:hint="default" w:hAnsi="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hAnsi="宋体" w:cs="宋体"/>
          <w:bCs/>
          <w:color w:val="000000" w:themeColor="text1"/>
          <w:sz w:val="24"/>
          <w:szCs w:val="24"/>
          <w:highlight w:val="none"/>
          <w:lang w:val="en-US" w:eastAsia="zh-CN"/>
          <w14:textFill>
            <w14:solidFill>
              <w14:schemeClr w14:val="tx1"/>
            </w14:solidFill>
          </w14:textFill>
        </w:rPr>
        <w:t xml:space="preserve">双方只能向因责任所需而需要了解上述保密资料的工作人员透露保密资料，且该工作人员经双方协商授权确定，并应与授权的工作人员签</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订《保密协议书》以</w:t>
      </w:r>
      <w:r>
        <w:rPr>
          <w:rFonts w:hint="eastAsia" w:hAnsi="宋体" w:cs="宋体"/>
          <w:bCs/>
          <w:color w:val="000000" w:themeColor="text1"/>
          <w:sz w:val="24"/>
          <w:szCs w:val="24"/>
          <w:highlight w:val="none"/>
          <w:lang w:val="en-US" w:eastAsia="zh-CN"/>
          <w14:textFill>
            <w14:solidFill>
              <w14:schemeClr w14:val="tx1"/>
            </w14:solidFill>
          </w14:textFill>
        </w:rPr>
        <w:t xml:space="preserve">防止未经授权向第三人披露。</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双方保证对受检者所有信息保密，除非该信息已经由受检者主动公开。</w:t>
      </w:r>
      <w:r/>
    </w:p>
    <w:p>
      <w:pPr>
        <w:pStyle w:val="961"/>
        <w:keepLines w:val="0"/>
        <w:keepNext w:val="0"/>
        <w:pageBreakBefore w:val="0"/>
        <w:spacing w:line="360" w:lineRule="auto"/>
        <w:rPr>
          <w:rFonts w:hint="eastAsia" w:hAnsi="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hAnsi="宋体" w:cs="宋体"/>
          <w:bCs/>
          <w:color w:val="000000" w:themeColor="text1"/>
          <w:sz w:val="24"/>
          <w:szCs w:val="24"/>
          <w:highlight w:val="none"/>
          <w:lang w:val="en-US" w:eastAsia="zh-CN" w:bidi="ar-SA"/>
          <w14:textFill>
            <w14:solidFill>
              <w14:schemeClr w14:val="tx1"/>
            </w14:solidFill>
          </w14:textFill>
        </w:rPr>
        <w:t xml:space="preserve">除征得甲方事先书面同意外，乙方不得将检测信息用于科研、宣传。</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本合同规定的保密义务不因本合同的终止、中止而失效，除非相关资料依法成为公开信息。</w:t>
      </w:r>
      <w:r/>
    </w:p>
    <w:p>
      <w:pPr>
        <w:ind w:firstLine="482"/>
        <w:spacing w:line="360" w:lineRule="auto"/>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十二、廉洁条款</w:t>
      </w:r>
      <w:r/>
    </w:p>
    <w:p>
      <w:pPr>
        <w:ind w:firstLine="480"/>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为进一步加强医疗卫生行风建设，规范医疗卫生机构购销行为，有效防范商业贿赂行为，营造公平交易、诚实守信的购销环境，特约定以下廉洁条款，以资合同各方共同遵守:</w:t>
      </w:r>
      <w:r/>
    </w:p>
    <w:p>
      <w:pPr>
        <w:numPr>
          <w:ilvl w:val="0"/>
          <w:numId w:val="0"/>
        </w:numPr>
        <w:ind w:firstLine="480"/>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合同各方按照《民法典》及廉洁条款约定履行。</w:t>
      </w:r>
      <w:r/>
    </w:p>
    <w:p>
      <w:pPr>
        <w:ind w:firstLine="480"/>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80"/>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甲方严禁利用任何途径和方式，为乙方统计医师个人及临床科室有关产品用量信息，或为乙方统计提供便利。</w:t>
      </w:r>
      <w:r/>
    </w:p>
    <w:p>
      <w:pPr>
        <w:ind w:firstLine="480"/>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乙方不得以回扣、宴请等方式影响甲方工作人员采购或使用产品的选择权，不得在学术活动中提供旅游、超标准支付食宿费用。</w:t>
      </w:r>
      <w:r/>
    </w:p>
    <w:p>
      <w:pPr>
        <w:ind w:firstLine="480"/>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乙方指定销售代表必须在工作时间到甲方指定地点联系商谈，不得到住院部、门诊部、医技科室等推销，不得借故到甲方相关领导、部门负责人及相关工作人员非办公场所访谈并提供任何好处费等。</w:t>
      </w:r>
      <w:r/>
    </w:p>
    <w:p>
      <w:pPr>
        <w:ind w:firstLine="480"/>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乙方如违反本廉洁条款，一经发现，甲方有权终止本合同，并向上级主管部门报告。如乙方被列入商业贿赂不良记录，则严格按照国家相关规定处理。</w:t>
      </w:r>
      <w:r/>
    </w:p>
    <w:p>
      <w:pPr>
        <w:ind w:firstLine="480"/>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本廉洁条款在合同履行过程中，合同各方均需严格遵守。</w:t>
      </w:r>
      <w:r/>
    </w:p>
    <w:p>
      <w:pPr>
        <w:numPr>
          <w:ilvl w:val="0"/>
          <w:numId w:val="0"/>
        </w:num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color w:val="000000" w:themeColor="text1"/>
          <w:sz w:val="24"/>
          <w:szCs w:val="24"/>
          <w:highlight w:val="none"/>
          <w14:textFill>
            <w14:solidFill>
              <w14:schemeClr w14:val="tx1"/>
            </w14:solidFill>
          </w14:textFill>
        </w:rPr>
        <w:t xml:space="preserve">、联系方式</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上述发出通知、回复的费用由发出一方承担。</w:t>
      </w:r>
      <w:r/>
    </w:p>
    <w:p>
      <w:pPr>
        <w:ind w:firstLine="480"/>
        <w:spacing w:line="360" w:lineRule="auto"/>
        <w:rPr>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双方一致同意本协议载明的地址作为诉讼时人民法院送达法律文书的有效地址（包括但不限于一审、二审、执行、再审）。人民法院向任何一方协议载明的地址或书面通知变更后的地址送达法律文书的，均视为有效送达，受送达人拒收或因其他原因被退回的，不影响送达的效力。</w:t>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bookmarkStart w:id="9" w:name="_Toc26807"/>
      <w:r/>
      <w:bookmarkStart w:id="10" w:name="_Toc30329"/>
      <w:r/>
      <w:bookmarkStart w:id="11" w:name="_Toc9497"/>
      <w:r/>
      <w:bookmarkStart w:id="12" w:name="_Toc18683"/>
      <w:r/>
      <w:bookmarkStart w:id="13" w:name="_Toc51257766"/>
      <w:r/>
      <w:bookmarkStart w:id="14" w:name="_Toc32454"/>
      <w:r>
        <w:rPr>
          <w:rFonts w:hint="eastAsia" w:ascii="宋体" w:hAnsi="宋体" w:eastAsia="宋体" w:cs="宋体"/>
          <w:b/>
          <w:color w:val="000000" w:themeColor="text1"/>
          <w:sz w:val="24"/>
          <w:szCs w:val="24"/>
          <w:highlight w:val="none"/>
          <w14:textFill>
            <w14:solidFill>
              <w14:schemeClr w14:val="tx1"/>
            </w14:solidFill>
          </w14:textFill>
        </w:rPr>
        <w:t xml:space="preserve">十</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24"/>
          <w:szCs w:val="24"/>
          <w:highlight w:val="none"/>
          <w14:textFill>
            <w14:solidFill>
              <w14:schemeClr w14:val="tx1"/>
            </w14:solidFill>
          </w14:textFill>
        </w:rPr>
        <w:t xml:space="preserve">、争议的解决</w:t>
      </w:r>
      <w:bookmarkEnd w:id="9"/>
      <w:r/>
      <w:bookmarkEnd w:id="10"/>
      <w:r/>
      <w:bookmarkEnd w:id="11"/>
      <w:r/>
      <w:bookmarkEnd w:id="12"/>
      <w:r/>
      <w:bookmarkEnd w:id="13"/>
      <w:r/>
      <w:bookmarkEnd w:id="14"/>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与本合同有关的一切争议，双方应通过友好协商解决。如果经协商不能达成协议，可以向甲方所在地有管辖权的人民法院起诉。</w:t>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color w:val="000000" w:themeColor="text1"/>
          <w:sz w:val="24"/>
          <w:szCs w:val="24"/>
          <w:highlight w:val="none"/>
          <w14:textFill>
            <w14:solidFill>
              <w14:schemeClr w14:val="tx1"/>
            </w14:solidFill>
          </w14:textFill>
        </w:rPr>
        <w:t xml:space="preserve">、合同生效及其他</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本合同经甲乙双方签章之日起生效。</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本合同系指本文件及其附件中的所有部分，采购文件、成交的响应文件、成交通知书、供应商在招标过程中的澄清和承诺等为本合同不可缺少的组成部分。本合同履行过程中发生相关修改内容，须符合《中华人民共和国政府采购法》和相关法律法规规定；补充协议作为本合同不可分割的一部分。</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本合同壹式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柒</w:t>
      </w:r>
      <w:r>
        <w:rPr>
          <w:rFonts w:hint="eastAsia" w:ascii="宋体" w:hAnsi="宋体" w:eastAsia="宋体" w:cs="宋体"/>
          <w:bCs/>
          <w:color w:val="000000" w:themeColor="text1"/>
          <w:sz w:val="24"/>
          <w:szCs w:val="24"/>
          <w:highlight w:val="none"/>
          <w14:textFill>
            <w14:solidFill>
              <w14:schemeClr w14:val="tx1"/>
            </w14:solidFill>
          </w14:textFill>
        </w:rPr>
        <w:t xml:space="preserve">份，甲</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方执肆份，</w:t>
      </w:r>
      <w:r>
        <w:rPr>
          <w:rFonts w:hint="eastAsia" w:ascii="宋体" w:hAnsi="宋体" w:eastAsia="宋体" w:cs="宋体"/>
          <w:bCs/>
          <w:color w:val="000000" w:themeColor="text1"/>
          <w:sz w:val="24"/>
          <w:szCs w:val="24"/>
          <w:highlight w:val="none"/>
          <w14:textFill>
            <w14:solidFill>
              <w14:schemeClr w14:val="tx1"/>
            </w14:solidFill>
          </w14:textFill>
        </w:rPr>
        <w:t xml:space="preserve">乙方执</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壹</w:t>
      </w:r>
      <w:r>
        <w:rPr>
          <w:rFonts w:hint="eastAsia" w:ascii="宋体" w:hAnsi="宋体" w:eastAsia="宋体" w:cs="宋体"/>
          <w:bCs/>
          <w:color w:val="000000" w:themeColor="text1"/>
          <w:sz w:val="24"/>
          <w:szCs w:val="24"/>
          <w:highlight w:val="none"/>
          <w14:textFill>
            <w14:solidFill>
              <w14:schemeClr w14:val="tx1"/>
            </w14:solidFill>
          </w14:textFill>
        </w:rPr>
        <w:t xml:space="preserve">份，招标代理机构执贰份，具有同等法律效力。</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本合同应按照中华人民共和国的现行法律进行解释。</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如非因乙方原因提前终止本合同的，甲方应按乙方已完成工作阶段或工作量支付费用。</w:t>
      </w:r>
      <w:r/>
    </w:p>
    <w:p>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    方(公章)：                      乙    方(公章)：</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法定代表人/负责人：                   法定代表人/负责人：</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或授权代理人                          或授权代理人：</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（签字）                              （签字）</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签订日期：                            签订日期：</w:t>
      </w:r>
      <w:r/>
    </w:p>
    <w:p>
      <w:pPr>
        <w:pStyle w:val="951"/>
        <w:jc w:val="center"/>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r>
        <w:rPr>
          <w:rFonts w:hint="eastAsia" w:ascii="宋体" w:hAnsi="宋体" w:eastAsia="宋体" w:cs="宋体"/>
          <w:b/>
          <w:bCs/>
          <w:color w:val="000000" w:themeColor="text1"/>
          <w:sz w:val="24"/>
          <w:szCs w:val="24"/>
          <w:highlight w:val="none"/>
          <w14:textFill>
            <w14:solidFill>
              <w14:schemeClr w14:val="tx1"/>
            </w14:solidFill>
          </w14:textFill>
        </w:rPr>
        <w:t xml:space="preserve">第六章 评审方法及评审标准</w:t>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一、评审方法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1、本次评审方法采用综合评分法，即在满足磋商文件实质性要求前提下，按照磋商文件中规定的评审标准和各项因素进行综合评审，以评审总得分最高的供应商作为成交候选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综合评分的主要因素为：价格、人员配备、技术力量、项目方案、服务保障、供应商的综合情况、业绩、服务、承诺、对磋商文件的响应程度，以及相应的比重或者数值等。总分值为100分，评审因素及各比重如下：价格分值占总分值的比重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%（权重），技术与质量及其它占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70</w:t>
      </w:r>
      <w:r>
        <w:rPr>
          <w:rFonts w:hint="eastAsia" w:ascii="宋体" w:hAnsi="宋体" w:eastAsia="宋体" w:cs="宋体"/>
          <w:color w:val="000000" w:themeColor="text1"/>
          <w:sz w:val="24"/>
          <w:szCs w:val="24"/>
          <w:highlight w:val="none"/>
          <w14:textFill>
            <w14:solidFill>
              <w14:schemeClr w14:val="tx1"/>
            </w14:solidFill>
          </w14:textFill>
        </w:rPr>
        <w:t xml:space="preserve">%（权重）。</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提供相同品牌产品且实质性响应的不同供应商参加同一合同项下磋商项目的，按一家供应商计算，评审后得分最高的同品牌供应商获得成交供应商推荐资格；评审得分相同的，由报价较低的供应商获得成交供应商推荐资格，如报价也相同，则采取随机抽取方式确定，其他同品牌供应商不作为成交供应商。非单一产品采购项目，多家供应商提供的核心产品（标注）品牌相同的，按上述规定处理。（如涉及）</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5、磋商小组应当根据综合评分情况，按照评审得分由高到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低</w:t>
      </w:r>
      <w:r>
        <w:rPr>
          <w:rFonts w:hint="eastAsia" w:ascii="宋体" w:hAnsi="宋体" w:eastAsia="宋体" w:cs="宋体"/>
          <w:color w:val="000000" w:themeColor="text1"/>
          <w:sz w:val="24"/>
          <w:szCs w:val="24"/>
          <w:highlight w:val="none"/>
          <w14:textFill>
            <w14:solidFill>
              <w14:schemeClr w14:val="tx1"/>
            </w14:solidFill>
          </w14:textFill>
        </w:rPr>
        <w:t xml:space="preserve">顺序推荐3名以上成交候选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并编写评审报告。</w:t>
      </w:r>
      <w:r>
        <w:rPr>
          <w:rFonts w:hint="eastAsia" w:ascii="宋体" w:hAnsi="宋体" w:eastAsia="宋体" w:cs="宋体"/>
          <w:color w:val="000000" w:themeColor="text1"/>
          <w:sz w:val="24"/>
          <w:szCs w:val="24"/>
          <w:highlight w:val="none"/>
          <w14:textFill>
            <w14:solidFill>
              <w14:schemeClr w14:val="tx1"/>
            </w14:solidFill>
          </w14:textFill>
        </w:rPr>
        <w:t xml:space="preserve">评审得分相同的，按照最后报价由低到高的顺序推荐，评审得分且最后报价相同的，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按照技术指标优劣顺序推荐。</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6、磋商小组对最后报价进行复核。</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w:t>
      </w:r>
      <w:r>
        <w:rPr>
          <w:rFonts w:hint="eastAsia" w:ascii="宋体" w:hAnsi="宋体" w:eastAsia="宋体" w:cs="宋体"/>
          <w:b/>
          <w:bCs/>
          <w:color w:val="000000" w:themeColor="text1"/>
          <w:sz w:val="24"/>
          <w:szCs w:val="24"/>
          <w:highlight w:val="none"/>
          <w14:textFill>
            <w14:solidFill>
              <w14:schemeClr w14:val="tx1"/>
            </w14:solidFill>
          </w14:textFill>
        </w:rPr>
        <w:t xml:space="preserve">评分标准</w:t>
      </w:r>
      <w:r/>
    </w:p>
    <w:p>
      <w:pPr>
        <w:ind w:firstLine="482"/>
        <w:spacing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第一标段：</w:t>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（一）价格得分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0分）</w:t>
      </w:r>
      <w:r/>
    </w:p>
    <w:p>
      <w:pPr>
        <w:pStyle w:val="961"/>
        <w:spacing w:line="360" w:lineRule="auto"/>
        <w:rPr>
          <w:rFonts w:hint="eastAsia" w:hAnsi="Times New Roman" w:cs="Times New Roman"/>
          <w:color w:val="000000" w:themeColor="text1"/>
          <w:highlight w:val="none"/>
          <w14:textFill>
            <w14:solidFill>
              <w14:schemeClr w14:val="tx1"/>
            </w14:solidFill>
          </w14:textFill>
        </w:rPr>
      </w:pPr>
      <w:r>
        <w:rPr>
          <w:rFonts w:hint="eastAsia" w:hAnsi="Times New Roman" w:cs="Times New Roman"/>
          <w:color w:val="000000" w:themeColor="text1"/>
          <w:highlight w:val="none"/>
          <w14:textFill>
            <w14:solidFill>
              <w14:schemeClr w14:val="tx1"/>
            </w14:solidFill>
          </w14:textFill>
        </w:rPr>
        <w:t xml:space="preserve">第一步：本次报价报的是统一优惠率，不报总价，本项目0％≤优惠率≤100％为有效报价，超出此范围的优惠率为无效报价，其</w:t>
      </w:r>
      <w:r>
        <w:rPr>
          <w:rFonts w:hint="eastAsia" w:hAnsi="Times New Roman" w:cs="Times New Roman"/>
          <w:color w:val="000000" w:themeColor="text1"/>
          <w:highlight w:val="none"/>
          <w:lang w:val="en-US" w:eastAsia="zh-CN"/>
          <w14:textFill>
            <w14:solidFill>
              <w14:schemeClr w14:val="tx1"/>
            </w14:solidFill>
          </w14:textFill>
        </w:rPr>
        <w:t xml:space="preserve">投标</w:t>
      </w:r>
      <w:r>
        <w:rPr>
          <w:rFonts w:hint="eastAsia" w:hAnsi="Times New Roman" w:cs="Times New Roman"/>
          <w:color w:val="000000" w:themeColor="text1"/>
          <w:highlight w:val="none"/>
          <w14:textFill>
            <w14:solidFill>
              <w14:schemeClr w14:val="tx1"/>
            </w14:solidFill>
          </w14:textFill>
        </w:rPr>
        <w:t xml:space="preserve">文件不予评审，也不得标。</w:t>
      </w:r>
      <w:r/>
    </w:p>
    <w:p>
      <w:pPr>
        <w:pStyle w:val="961"/>
        <w:spacing w:line="360" w:lineRule="auto"/>
        <w:rPr>
          <w:rFonts w:hint="eastAsia" w:hAnsi="Times New Roman" w:cs="Times New Roman"/>
          <w:color w:val="000000" w:themeColor="text1"/>
          <w:highlight w:val="none"/>
          <w14:textFill>
            <w14:solidFill>
              <w14:schemeClr w14:val="tx1"/>
            </w14:solidFill>
          </w14:textFill>
        </w:rPr>
      </w:pPr>
      <w:r>
        <w:rPr>
          <w:rFonts w:hint="eastAsia" w:hAnsi="Times New Roman" w:cs="Times New Roman"/>
          <w:color w:val="000000" w:themeColor="text1"/>
          <w:highlight w:val="none"/>
          <w14:textFill>
            <w14:solidFill>
              <w14:schemeClr w14:val="tx1"/>
            </w14:solidFill>
          </w14:textFill>
        </w:rPr>
        <w:t xml:space="preserve">第二步：以满足</w:t>
      </w:r>
      <w:r>
        <w:rPr>
          <w:rFonts w:hint="eastAsia" w:hAnsi="Times New Roman" w:cs="Times New Roman"/>
          <w:color w:val="000000" w:themeColor="text1"/>
          <w:highlight w:val="none"/>
          <w:lang w:val="en-US" w:eastAsia="zh-CN"/>
          <w14:textFill>
            <w14:solidFill>
              <w14:schemeClr w14:val="tx1"/>
            </w14:solidFill>
          </w14:textFill>
        </w:rPr>
        <w:t xml:space="preserve">招标</w:t>
      </w:r>
      <w:r>
        <w:rPr>
          <w:rFonts w:hint="eastAsia" w:hAnsi="Times New Roman" w:cs="Times New Roman"/>
          <w:color w:val="000000" w:themeColor="text1"/>
          <w:highlight w:val="none"/>
          <w14:textFill>
            <w14:solidFill>
              <w14:schemeClr w14:val="tx1"/>
            </w14:solidFill>
          </w14:textFill>
        </w:rPr>
        <w:t xml:space="preserve">文件实质性要求且有效</w:t>
      </w:r>
      <w:r>
        <w:rPr>
          <w:rFonts w:hint="eastAsia" w:hAnsi="Times New Roman" w:cs="Times New Roman"/>
          <w:color w:val="000000" w:themeColor="text1"/>
          <w:highlight w:val="none"/>
          <w:lang w:val="en-US" w:eastAsia="zh-CN"/>
          <w14:textFill>
            <w14:solidFill>
              <w14:schemeClr w14:val="tx1"/>
            </w14:solidFill>
          </w14:textFill>
        </w:rPr>
        <w:t xml:space="preserve">报价</w:t>
      </w:r>
      <w:r>
        <w:rPr>
          <w:rFonts w:hint="eastAsia" w:hAnsi="Times New Roman" w:cs="Times New Roman"/>
          <w:color w:val="000000" w:themeColor="text1"/>
          <w:highlight w:val="none"/>
          <w14:textFill>
            <w14:solidFill>
              <w14:schemeClr w14:val="tx1"/>
            </w14:solidFill>
          </w14:textFill>
        </w:rPr>
        <w:t xml:space="preserve">优惠率中的最高优惠率作为评标基准优惠率，其价格分为满分。例如各</w:t>
      </w:r>
      <w:r>
        <w:rPr>
          <w:rFonts w:hint="eastAsia" w:hAnsi="Times New Roman" w:cs="Times New Roman"/>
          <w:color w:val="000000" w:themeColor="text1"/>
          <w:highlight w:val="none"/>
          <w:lang w:val="en-US" w:eastAsia="zh-CN"/>
          <w14:textFill>
            <w14:solidFill>
              <w14:schemeClr w14:val="tx1"/>
            </w14:solidFill>
          </w14:textFill>
        </w:rPr>
        <w:t xml:space="preserve">投标人</w:t>
      </w:r>
      <w:r>
        <w:rPr>
          <w:rFonts w:hint="eastAsia" w:hAnsi="Times New Roman" w:cs="Times New Roman"/>
          <w:color w:val="000000" w:themeColor="text1"/>
          <w:highlight w:val="none"/>
          <w14:textFill>
            <w14:solidFill>
              <w14:schemeClr w14:val="tx1"/>
            </w14:solidFill>
          </w14:textFill>
        </w:rPr>
        <w:t xml:space="preserve">的响应优惠率分别为20％、25％、30％、40％，以上数字中，40％为评标基准优惠率，其报价分为满分。其他有效投标报价得分统一按照下列公式计算：（计算结果均四舍五入保留两位小数）</w:t>
      </w:r>
      <w:r/>
    </w:p>
    <w:p>
      <w:pPr>
        <w:pStyle w:val="961"/>
        <w:spacing w:line="360" w:lineRule="auto"/>
        <w:rPr>
          <w:rFonts w:hint="eastAsia" w:hAnsi="Times New Roman" w:cs="Times New Roman"/>
          <w:color w:val="000000" w:themeColor="text1"/>
          <w:highlight w:val="none"/>
          <w14:textFill>
            <w14:solidFill>
              <w14:schemeClr w14:val="tx1"/>
            </w14:solidFill>
          </w14:textFill>
        </w:rPr>
      </w:pPr>
      <w:r>
        <w:rPr>
          <w:rFonts w:hint="eastAsia" w:hAnsi="Times New Roman" w:cs="Times New Roman"/>
          <w:color w:val="000000" w:themeColor="text1"/>
          <w:highlight w:val="none"/>
          <w14:textFill>
            <w14:solidFill>
              <w14:schemeClr w14:val="tx1"/>
            </w14:solidFill>
          </w14:textFill>
        </w:rPr>
        <w:t xml:space="preserve">投标报价得分计算公式：价格得分=[（1-基准优惠率）/（1-</w:t>
      </w:r>
      <w:r>
        <w:rPr>
          <w:rFonts w:hint="eastAsia" w:hAnsi="Times New Roman" w:cs="Times New Roman"/>
          <w:color w:val="000000" w:themeColor="text1"/>
          <w:highlight w:val="none"/>
          <w:lang w:val="en-US" w:eastAsia="zh-CN"/>
          <w14:textFill>
            <w14:solidFill>
              <w14:schemeClr w14:val="tx1"/>
            </w14:solidFill>
          </w14:textFill>
        </w:rPr>
        <w:t xml:space="preserve">投标</w:t>
      </w:r>
      <w:r>
        <w:rPr>
          <w:rFonts w:hint="eastAsia" w:hAnsi="Times New Roman" w:cs="Times New Roman"/>
          <w:color w:val="000000" w:themeColor="text1"/>
          <w:highlight w:val="none"/>
          <w14:textFill>
            <w14:solidFill>
              <w14:schemeClr w14:val="tx1"/>
            </w14:solidFill>
          </w14:textFill>
        </w:rPr>
        <w:t xml:space="preserve">优惠率）]×价格权重。</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（二）服务总体方案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59</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1、项目具体实施方案：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（1）服务方案（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综合评定优秀，概述详细，方案完整，措施有效扎实，先进性、开放性、可扩展性、可靠性和安全性等方案考虑周全的得10分；</w:t>
      </w:r>
      <w:r/>
    </w:p>
    <w:p>
      <w:pPr>
        <w:ind w:firstLine="480"/>
        <w:spacing w:line="36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综合评定良好，概述详细，方案完整，措施有效扎实，先进性、开放性、可扩展性、可靠性和安全性等方案考虑比较细致的得7分；</w:t>
      </w:r>
      <w:r/>
    </w:p>
    <w:p>
      <w:pPr>
        <w:ind w:firstLine="480"/>
        <w:spacing w:line="36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综合评定一般，方案简单、先进性、开放性、可扩展性、可靠性和安全性等一般的得4分；</w:t>
      </w:r>
      <w:r/>
    </w:p>
    <w:p>
      <w:pPr>
        <w:ind w:firstLine="480"/>
        <w:spacing w:line="36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未提供不得分。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检测方案（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综合评定优秀，概述详细，方案完整，措施有效扎实，科学性、合理性、可行性、实用性、安全性等方案考虑周全的得10分；</w:t>
      </w:r>
      <w:r/>
    </w:p>
    <w:p>
      <w:pPr>
        <w:ind w:firstLine="480"/>
        <w:spacing w:line="36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综合评定良好，概述详细，方案完整，措施有效扎实，科学性、合理性、可行性、实用性、安全性等方案考虑比较细致的得7分；</w:t>
      </w:r>
      <w:r/>
    </w:p>
    <w:p>
      <w:pPr>
        <w:ind w:firstLine="480"/>
        <w:spacing w:line="36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综合评定一般，方案简单、科学性、合理性、可行性、实用性、安全性等一般的得4分；</w:t>
      </w:r>
      <w:r/>
    </w:p>
    <w:p>
      <w:pPr>
        <w:ind w:firstLine="480"/>
        <w:spacing w:line="36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未提供不得分。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2、实验室场地情况比较：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（1）为保证应急情况下样本的及时检测，投标人具有自有实验室的得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分。（实验室需获得ISO15189或CAP认证的成熟实验室。需提供证书的复印件，不提供不得分）。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（2）室间质控参加并符合卫生部临检中心和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省级</w:t>
      </w:r>
      <w:r>
        <w:rPr>
          <w:rFonts w:hint="eastAsia" w:ascii="宋体" w:hAnsi="宋体" w:eastAsia="宋体" w:cs="宋体"/>
          <w:color w:val="000000" w:themeColor="text1"/>
          <w:sz w:val="24"/>
          <w:szCs w:val="24"/>
          <w:highlight w:val="none"/>
          <w14:textFill>
            <w14:solidFill>
              <w14:schemeClr w14:val="tx1"/>
            </w14:solidFill>
          </w14:textFill>
        </w:rPr>
        <w:t xml:space="preserve">临检中心相关要求。全部符合要求得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分，符合其中一项得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分。（须提供相关证明材料，否则不得分。）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3、检测仪器设备配备情况比较（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分）：评委根据投标人仪器配备情况进行比较打分，检测设备需与本项目检测内容相关，自有设备的，投标文件中须提供设备的权属证明；若为租赁的，投标文件中须提供有设备清单的租赁协议，否则不得分。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检测设备齐全的得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分，检测设备较齐全的得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分，检测设备一般的得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未提供不得分。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4、人员配备方案：1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）投标人现有专职检验人员的数量比较（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分）：检验人员数量达到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人得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分，每增加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人加1分，最高得分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分。投标文件中提供投标人为上述人员缴纳的近一个月的社保证明复印件。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）投标人具有高级及以上（含正副高）职称人员情况比较（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分）：每具有1名得1分，最高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分。投标文件中提供职称人员职称证书复印件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投标人为上述人员缴纳的近一个月的社保证明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或劳务合同</w:t>
      </w:r>
      <w:r>
        <w:rPr>
          <w:rFonts w:hint="eastAsia" w:ascii="宋体" w:hAnsi="宋体" w:eastAsia="宋体" w:cs="宋体"/>
          <w:color w:val="000000" w:themeColor="text1"/>
          <w:sz w:val="24"/>
          <w:szCs w:val="24"/>
          <w:highlight w:val="none"/>
          <w14:textFill>
            <w14:solidFill>
              <w14:schemeClr w14:val="tx1"/>
            </w14:solidFill>
          </w14:textFill>
        </w:rPr>
        <w:t xml:space="preserve">复印件。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）项目负责人能力比较（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分）：有医学检验工作经验且具有正高级职称的得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分；有医学检验工作经验且具有副高级职称的得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分。投标文件中提供职称人员职称证书复印件及投标人为上述人员缴纳的近一个月的社保证明复印件。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5、保温设备与运输保障（</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投标人有自有或租赁标准的检验标本运输车辆的，有1辆得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分，投标文件中须提供车辆的行驶证、登记证复印件和保温车相关图片；若为租赁的，还须提供租赁协议复印件。不提供或提供证明材料不全的不得分。</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14:textFill>
            <w14:solidFill>
              <w14:schemeClr w14:val="tx1"/>
            </w14:solidFill>
          </w14:textFill>
        </w:rPr>
        <w:t xml:space="preserve">）投标人履行能力比较（</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年1月1日至今承担的类似项目业绩，提供一份得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分。须提供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完整</w:t>
      </w:r>
      <w:r>
        <w:rPr>
          <w:rFonts w:hint="eastAsia" w:ascii="宋体" w:hAnsi="宋体" w:eastAsia="宋体" w:cs="宋体"/>
          <w:color w:val="000000" w:themeColor="text1"/>
          <w:sz w:val="24"/>
          <w:szCs w:val="24"/>
          <w:highlight w:val="none"/>
          <w14:textFill>
            <w14:solidFill>
              <w14:schemeClr w14:val="tx1"/>
            </w14:solidFill>
          </w14:textFill>
        </w:rPr>
        <w:t xml:space="preserve">合同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复印件</w:t>
      </w:r>
      <w:r>
        <w:rPr>
          <w:rFonts w:hint="eastAsia" w:ascii="宋体" w:hAnsi="宋体" w:eastAsia="宋体" w:cs="宋体"/>
          <w:color w:val="000000" w:themeColor="text1"/>
          <w:sz w:val="24"/>
          <w:szCs w:val="24"/>
          <w:highlight w:val="none"/>
          <w14:textFill>
            <w14:solidFill>
              <w14:schemeClr w14:val="tx1"/>
            </w14:solidFill>
          </w14:textFill>
        </w:rPr>
        <w:t xml:space="preserve">，否则不得分。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年1月1日至今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国家卫健</w:t>
      </w:r>
      <w:r>
        <w:rPr>
          <w:rFonts w:hint="eastAsia" w:ascii="宋体" w:hAnsi="宋体" w:eastAsia="宋体" w:cs="宋体"/>
          <w:color w:val="000000" w:themeColor="text1"/>
          <w:sz w:val="24"/>
          <w:szCs w:val="24"/>
          <w:highlight w:val="none"/>
          <w14:textFill>
            <w14:solidFill>
              <w14:schemeClr w14:val="tx1"/>
            </w14:solidFill>
          </w14:textFill>
        </w:rPr>
        <w:t xml:space="preserve">委和省级室间质评成绩单及证书，有一份成绩单和证书的得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分。需在投标文件中提供成绩单和证书复印件，否则不得分。</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投标人管理体系资质证书比较（1分）：该管理体系认证业务范围需与本项目服务内容相关，证书须在有效期内，认证机构需国家认监委备案的合法机构，提供证书复印件和中国国家认证认可监督管理委员会官网查询页面截图，否则不得分。</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（1）环境管理体系证书，0.5分</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（2）职业健康安全管理体系认证，0.5分</w:t>
      </w:r>
      <w:r/>
    </w:p>
    <w:p>
      <w:pPr>
        <w:ind w:firstLine="482"/>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第二标段：</w:t>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（一）价格得分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pStyle w:val="961"/>
        <w:spacing w:line="360" w:lineRule="auto"/>
        <w:rPr>
          <w:rFonts w:hint="eastAsia" w:hAnsi="Times New Roman" w:cs="Times New Roman"/>
          <w:color w:val="000000" w:themeColor="text1"/>
          <w:highlight w:val="none"/>
          <w14:textFill>
            <w14:solidFill>
              <w14:schemeClr w14:val="tx1"/>
            </w14:solidFill>
          </w14:textFill>
        </w:rPr>
      </w:pPr>
      <w:r>
        <w:rPr>
          <w:rFonts w:hint="eastAsia" w:hAnsi="Times New Roman" w:cs="Times New Roman"/>
          <w:color w:val="000000" w:themeColor="text1"/>
          <w:highlight w:val="none"/>
          <w14:textFill>
            <w14:solidFill>
              <w14:schemeClr w14:val="tx1"/>
            </w14:solidFill>
          </w14:textFill>
        </w:rPr>
        <w:t xml:space="preserve">第一步：本次报价报的是统一优惠率，不报总价，本项目0％≤优惠率≤100％为有效报价，超出此范围的优惠率为无效报价，其</w:t>
      </w:r>
      <w:r>
        <w:rPr>
          <w:rFonts w:hint="eastAsia" w:hAnsi="Times New Roman" w:cs="Times New Roman"/>
          <w:color w:val="000000" w:themeColor="text1"/>
          <w:highlight w:val="none"/>
          <w:lang w:val="en-US" w:eastAsia="zh-CN"/>
          <w14:textFill>
            <w14:solidFill>
              <w14:schemeClr w14:val="tx1"/>
            </w14:solidFill>
          </w14:textFill>
        </w:rPr>
        <w:t xml:space="preserve">投标</w:t>
      </w:r>
      <w:r>
        <w:rPr>
          <w:rFonts w:hint="eastAsia" w:hAnsi="Times New Roman" w:cs="Times New Roman"/>
          <w:color w:val="000000" w:themeColor="text1"/>
          <w:highlight w:val="none"/>
          <w14:textFill>
            <w14:solidFill>
              <w14:schemeClr w14:val="tx1"/>
            </w14:solidFill>
          </w14:textFill>
        </w:rPr>
        <w:t xml:space="preserve">文件不予评审，也不得标。</w:t>
      </w:r>
      <w:r/>
    </w:p>
    <w:p>
      <w:pPr>
        <w:pStyle w:val="961"/>
        <w:spacing w:line="360" w:lineRule="auto"/>
        <w:rPr>
          <w:rFonts w:hint="eastAsia" w:hAnsi="Times New Roman" w:cs="Times New Roman"/>
          <w:color w:val="000000" w:themeColor="text1"/>
          <w:highlight w:val="none"/>
          <w14:textFill>
            <w14:solidFill>
              <w14:schemeClr w14:val="tx1"/>
            </w14:solidFill>
          </w14:textFill>
        </w:rPr>
      </w:pPr>
      <w:r>
        <w:rPr>
          <w:rFonts w:hint="eastAsia" w:hAnsi="Times New Roman" w:cs="Times New Roman"/>
          <w:color w:val="000000" w:themeColor="text1"/>
          <w:highlight w:val="none"/>
          <w14:textFill>
            <w14:solidFill>
              <w14:schemeClr w14:val="tx1"/>
            </w14:solidFill>
          </w14:textFill>
        </w:rPr>
        <w:t xml:space="preserve">第二步：以满足</w:t>
      </w:r>
      <w:r>
        <w:rPr>
          <w:rFonts w:hint="eastAsia" w:hAnsi="Times New Roman" w:cs="Times New Roman"/>
          <w:color w:val="000000" w:themeColor="text1"/>
          <w:highlight w:val="none"/>
          <w:lang w:val="en-US" w:eastAsia="zh-CN"/>
          <w14:textFill>
            <w14:solidFill>
              <w14:schemeClr w14:val="tx1"/>
            </w14:solidFill>
          </w14:textFill>
        </w:rPr>
        <w:t xml:space="preserve">招标</w:t>
      </w:r>
      <w:r>
        <w:rPr>
          <w:rFonts w:hint="eastAsia" w:hAnsi="Times New Roman" w:cs="Times New Roman"/>
          <w:color w:val="000000" w:themeColor="text1"/>
          <w:highlight w:val="none"/>
          <w14:textFill>
            <w14:solidFill>
              <w14:schemeClr w14:val="tx1"/>
            </w14:solidFill>
          </w14:textFill>
        </w:rPr>
        <w:t xml:space="preserve">文件实质性要求且有效</w:t>
      </w:r>
      <w:r>
        <w:rPr>
          <w:rFonts w:hint="eastAsia" w:hAnsi="Times New Roman" w:cs="Times New Roman"/>
          <w:color w:val="000000" w:themeColor="text1"/>
          <w:highlight w:val="none"/>
          <w:lang w:val="en-US" w:eastAsia="zh-CN"/>
          <w14:textFill>
            <w14:solidFill>
              <w14:schemeClr w14:val="tx1"/>
            </w14:solidFill>
          </w14:textFill>
        </w:rPr>
        <w:t xml:space="preserve">报价</w:t>
      </w:r>
      <w:r>
        <w:rPr>
          <w:rFonts w:hint="eastAsia" w:hAnsi="Times New Roman" w:cs="Times New Roman"/>
          <w:color w:val="000000" w:themeColor="text1"/>
          <w:highlight w:val="none"/>
          <w14:textFill>
            <w14:solidFill>
              <w14:schemeClr w14:val="tx1"/>
            </w14:solidFill>
          </w14:textFill>
        </w:rPr>
        <w:t xml:space="preserve">优惠率中的最高优惠率作为评标基准优惠率，其价格分为满分。例如各</w:t>
      </w:r>
      <w:r>
        <w:rPr>
          <w:rFonts w:hint="eastAsia" w:hAnsi="Times New Roman" w:cs="Times New Roman"/>
          <w:color w:val="000000" w:themeColor="text1"/>
          <w:highlight w:val="none"/>
          <w:lang w:val="en-US" w:eastAsia="zh-CN"/>
          <w14:textFill>
            <w14:solidFill>
              <w14:schemeClr w14:val="tx1"/>
            </w14:solidFill>
          </w14:textFill>
        </w:rPr>
        <w:t xml:space="preserve">投标人</w:t>
      </w:r>
      <w:r>
        <w:rPr>
          <w:rFonts w:hint="eastAsia" w:hAnsi="Times New Roman" w:cs="Times New Roman"/>
          <w:color w:val="000000" w:themeColor="text1"/>
          <w:highlight w:val="none"/>
          <w14:textFill>
            <w14:solidFill>
              <w14:schemeClr w14:val="tx1"/>
            </w14:solidFill>
          </w14:textFill>
        </w:rPr>
        <w:t xml:space="preserve">的响应优惠率分别为20％、25％、30％、40％，以上数字中，40％为评标基准优惠率，其报价分为满分。其他有效投标报价得分统一按照下列公式计算：（计算结果均四舍五入保留两位小数）</w:t>
      </w:r>
      <w:r/>
    </w:p>
    <w:p>
      <w:pPr>
        <w:pStyle w:val="961"/>
        <w:spacing w:line="360" w:lineRule="auto"/>
        <w:rPr>
          <w:rFonts w:hint="eastAsia" w:hAnsi="Times New Roman" w:cs="Times New Roman"/>
          <w:color w:val="000000" w:themeColor="text1"/>
          <w:highlight w:val="none"/>
          <w14:textFill>
            <w14:solidFill>
              <w14:schemeClr w14:val="tx1"/>
            </w14:solidFill>
          </w14:textFill>
        </w:rPr>
      </w:pPr>
      <w:r>
        <w:rPr>
          <w:rFonts w:hint="eastAsia" w:hAnsi="Times New Roman" w:cs="Times New Roman"/>
          <w:color w:val="000000" w:themeColor="text1"/>
          <w:highlight w:val="none"/>
          <w14:textFill>
            <w14:solidFill>
              <w14:schemeClr w14:val="tx1"/>
            </w14:solidFill>
          </w14:textFill>
        </w:rPr>
        <w:t xml:space="preserve">投标报价得分计算公式：价格得分=[（1-基准优惠率）/（1-</w:t>
      </w:r>
      <w:r>
        <w:rPr>
          <w:rFonts w:hint="eastAsia" w:hAnsi="Times New Roman" w:cs="Times New Roman"/>
          <w:color w:val="000000" w:themeColor="text1"/>
          <w:highlight w:val="none"/>
          <w:lang w:val="en-US" w:eastAsia="zh-CN"/>
          <w14:textFill>
            <w14:solidFill>
              <w14:schemeClr w14:val="tx1"/>
            </w14:solidFill>
          </w14:textFill>
        </w:rPr>
        <w:t xml:space="preserve">投标</w:t>
      </w:r>
      <w:r>
        <w:rPr>
          <w:rFonts w:hint="eastAsia" w:hAnsi="Times New Roman" w:cs="Times New Roman"/>
          <w:color w:val="000000" w:themeColor="text1"/>
          <w:highlight w:val="none"/>
          <w14:textFill>
            <w14:solidFill>
              <w14:schemeClr w14:val="tx1"/>
            </w14:solidFill>
          </w14:textFill>
        </w:rPr>
        <w:t xml:space="preserve">优惠率）]×价格权重。</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（二）服务总体方案</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59</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1、项目具体实施方案：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（1）服务方案（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综合评定优秀，概述详细，方案10分；</w:t>
      </w:r>
      <w:r/>
    </w:p>
    <w:p>
      <w:pPr>
        <w:ind w:firstLine="480"/>
        <w:spacing w:line="36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综合评定良好，概述详细，方案完整，措施有效扎实，先进性、开放性、可扩展性、可靠性和安全性等方案考虑比较细致的得7分；</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综合评定一般，方案简单、先进性、开放性、可扩展性、可靠性和安全性等一般的得4分；</w:t>
      </w:r>
      <w:r/>
    </w:p>
    <w:p>
      <w:pPr>
        <w:ind w:firstLine="480"/>
        <w:spacing w:line="36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未提供不得分。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检测方案（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综合评定优秀，概述详细，方案完整，措施有效扎实，科学性、合理性、可行性、实用性、安全性等方案考虑周全的得10分；</w:t>
      </w:r>
      <w:r/>
    </w:p>
    <w:p>
      <w:pPr>
        <w:ind w:firstLine="480"/>
        <w:spacing w:line="36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综合评定良好，概述详细，方案完整，措施有效扎实，科学性、合理性、可行性、实用性、安全性等方案考虑比较细致的得7分；</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综合评定一般，方案简单、科学性、合理性、可行性、实用性、安全性等一般的得4分；</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未提供不得分。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2、实验室场地情况比较：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（1）为保证应急情况下样本的及时检测，投标人具有自有实验室的得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分。（须提供相关证明材料，否则不得分。）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（2）室间质控参加并符合卫生部临检中心相关要求。符合得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分。（须提供相关证明材料，否则不得分。）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、检测仪器设备配备情况比较（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分）：评委根据投标人仪器配备情况进行比较打分，检测设备需与本项目检测内容相关，自有设备的，投标文件中须提供设备的权属证明；若为租赁的，投标文件中须提供有设备清单的租赁协议，否则不得分。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检测设备齐全的得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分，检测设备较齐全的得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分，检测设备一般的得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、人员配备方案：1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）投标人现有专职检验人员的数量比较（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分）：检验人员数量达到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人得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分，每增加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人加1分，最高得分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分。投标文件中提供投标人为上述人员缴纳的近一个月的社保证明复印件。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）投标人具有高级及以上（含正副高）职称人员情况比较（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分）：每具有1名得1分，最高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分。投标文件中提供职称人员职称证书复印件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投标人为上述人员缴纳的近一个月的社保证明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或劳务合同</w:t>
      </w:r>
      <w:r>
        <w:rPr>
          <w:rFonts w:hint="eastAsia" w:ascii="宋体" w:hAnsi="宋体" w:eastAsia="宋体" w:cs="宋体"/>
          <w:color w:val="000000" w:themeColor="text1"/>
          <w:sz w:val="24"/>
          <w:szCs w:val="24"/>
          <w:highlight w:val="none"/>
          <w14:textFill>
            <w14:solidFill>
              <w14:schemeClr w14:val="tx1"/>
            </w14:solidFill>
          </w14:textFill>
        </w:rPr>
        <w:t xml:space="preserve">复印件。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）项目负责人能力比较（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分）：有医学检验工作经验且具有正高级职称的得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分；有医学检验工作经验且具有副高级职称的得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分。投标文件中提供职称人员职称证书复印件及投标人为上述人员缴纳的近一个月的社保证明复印件。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、保温设备与运输保障（</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投标人有自有或租赁标准的检验标本运输车辆的，有1辆得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分，投标文件中须提供车辆的行驶证、登记证复印件和保温车相关图片；若为租赁的，还须提供租赁协议复印件。不提供或提供证明材料不全的不得分。</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14:textFill>
            <w14:solidFill>
              <w14:schemeClr w14:val="tx1"/>
            </w14:solidFill>
          </w14:textFill>
        </w:rPr>
        <w:t xml:space="preserve">）投标人履行能力比较（</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年1月1日至今承担的类似项目业绩，提供一份得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分。须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在投标文件中</w:t>
      </w:r>
      <w:r>
        <w:rPr>
          <w:rFonts w:hint="eastAsia" w:ascii="宋体" w:hAnsi="宋体" w:eastAsia="宋体" w:cs="宋体"/>
          <w:color w:val="000000" w:themeColor="text1"/>
          <w:sz w:val="24"/>
          <w:szCs w:val="24"/>
          <w:highlight w:val="none"/>
          <w14:textFill>
            <w14:solidFill>
              <w14:schemeClr w14:val="tx1"/>
            </w14:solidFill>
          </w14:textFill>
        </w:rPr>
        <w:t xml:space="preserve">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完整</w:t>
      </w:r>
      <w:r>
        <w:rPr>
          <w:rFonts w:hint="eastAsia" w:ascii="宋体" w:hAnsi="宋体" w:eastAsia="宋体" w:cs="宋体"/>
          <w:color w:val="000000" w:themeColor="text1"/>
          <w:sz w:val="24"/>
          <w:szCs w:val="24"/>
          <w:highlight w:val="none"/>
          <w14:textFill>
            <w14:solidFill>
              <w14:schemeClr w14:val="tx1"/>
            </w14:solidFill>
          </w14:textFill>
        </w:rPr>
        <w:t xml:space="preserve">合同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复印件</w:t>
      </w:r>
      <w:r>
        <w:rPr>
          <w:rFonts w:hint="eastAsia" w:ascii="宋体" w:hAnsi="宋体" w:eastAsia="宋体" w:cs="宋体"/>
          <w:color w:val="000000" w:themeColor="text1"/>
          <w:sz w:val="24"/>
          <w:szCs w:val="24"/>
          <w:highlight w:val="none"/>
          <w14:textFill>
            <w14:solidFill>
              <w14:schemeClr w14:val="tx1"/>
            </w14:solidFill>
          </w14:textFill>
        </w:rPr>
        <w:t xml:space="preserve">，否则不得分。</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投标人管理体系资质证书比较（2分）：该管理体系认证业务范围需与本项目服务内容相关，证书须在有效期内，认证机构需国家认监委备案的合法机构，提供证书复印件和中国国家认证认可监督管理委员会官网查询页面截图，否则不得分。</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（1）ISO9001质量管理体系认证（认证范围:医学检验服务），2分</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240"/>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TW" w:eastAsia="zh-TW"/>
          <w14:textFill>
            <w14:solidFill>
              <w14:schemeClr w14:val="tx1"/>
            </w14:solidFill>
          </w14:textFill>
        </w:rPr>
        <w:t xml:space="preserve">注</w:t>
      </w:r>
      <w:r>
        <w:rPr>
          <w:rFonts w:hint="eastAsia" w:ascii="宋体" w:hAnsi="宋体" w:eastAsia="宋体" w:cs="宋体"/>
          <w:color w:val="000000" w:themeColor="text1"/>
          <w:sz w:val="24"/>
          <w:szCs w:val="24"/>
          <w:highlight w:val="none"/>
          <w14:textFill>
            <w14:solidFill>
              <w14:schemeClr w14:val="tx1"/>
            </w14:solidFill>
          </w14:textFill>
        </w:rPr>
        <w:t xml:space="preserve">（1）报价超过采购预算（或最高限价）将不进入综合评审程序，也不得中标。</w:t>
      </w:r>
      <w:r/>
    </w:p>
    <w:p>
      <w:pPr>
        <w:ind w:firstLine="480"/>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（2）付款步骤、服务期限如有负偏离的不得标。</w:t>
      </w:r>
      <w:r/>
    </w:p>
    <w:p>
      <w:pPr>
        <w:ind w:firstLine="480"/>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（3）针对评分标准中评分的每一条，投标人均应提供相关资料供评委评判并上传到投标书四（评分要点及技术要求）相关对应链接中，对应链接中无相关资料的视为不具备该项得分的条件。</w:t>
      </w:r>
      <w:r/>
    </w:p>
    <w:p>
      <w:pPr>
        <w:ind w:firstLine="480"/>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（4）以上</w:t>
      </w:r>
      <w:r>
        <w:rPr>
          <w:rFonts w:hint="eastAsia" w:ascii="宋体" w:hAnsi="宋体" w:eastAsia="宋体" w:cs="宋体"/>
          <w:color w:val="000000" w:themeColor="text1"/>
          <w:sz w:val="24"/>
          <w:szCs w:val="24"/>
          <w:highlight w:val="none"/>
          <w:lang w:val="zh-TW" w:eastAsia="zh-TW"/>
          <w14:textFill>
            <w14:solidFill>
              <w14:schemeClr w14:val="tx1"/>
            </w14:solidFill>
          </w14:textFill>
        </w:rPr>
        <w:t xml:space="preserve">须要递交的资料投标截止时间之前递交，逾时递交的资料将不作为评审依据。</w:t>
      </w:r>
      <w:r>
        <w:rPr>
          <w:rFonts w:hint="eastAsia" w:ascii="宋体" w:hAnsi="宋体" w:eastAsia="宋体" w:cs="宋体"/>
          <w:color w:val="000000" w:themeColor="text1"/>
          <w:sz w:val="24"/>
          <w:szCs w:val="24"/>
          <w:highlight w:val="none"/>
          <w14:textFill>
            <w14:solidFill>
              <w14:schemeClr w14:val="tx1"/>
            </w14:solidFill>
          </w14:textFill>
        </w:rPr>
        <w:t xml:space="preserve">响应人提供资料必须真实有效，成交后采购人对相应证书等进行原件核查，如若提供虚假资料，已成交的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14:textFill>
            <w14:solidFill>
              <w14:schemeClr w14:val="tx1"/>
            </w14:solidFill>
          </w14:textFill>
        </w:rPr>
        <w:t xml:space="preserve">将取消成交资格,将承担相应法律责任。</w:t>
      </w:r>
      <w:r/>
    </w:p>
    <w:p>
      <w:pPr>
        <w:ind w:firstLine="482"/>
        <w:spacing w:line="360" w:lineRule="auto"/>
        <w:rPr>
          <w:rStyle w:val="969"/>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2"/>
        <w:spacing w:line="360" w:lineRule="auto"/>
        <w:rPr>
          <w:rStyle w:val="969"/>
          <w:rFonts w:ascii="宋体" w:hAnsi="宋体" w:eastAsia="宋体" w:cs="宋体"/>
          <w:b/>
          <w:color w:val="000000" w:themeColor="text1"/>
          <w:sz w:val="24"/>
          <w:szCs w:val="24"/>
          <w:highlight w:val="none"/>
          <w14:textFill>
            <w14:solidFill>
              <w14:schemeClr w14:val="tx1"/>
            </w14:solidFill>
          </w14:textFill>
        </w:rPr>
      </w:pPr>
      <w:r>
        <w:rPr>
          <w:rStyle w:val="969"/>
          <w:rFonts w:hint="eastAsia" w:ascii="宋体" w:hAnsi="宋体" w:eastAsia="宋体" w:cs="宋体"/>
          <w:b/>
          <w:color w:val="000000" w:themeColor="text1"/>
          <w:sz w:val="24"/>
          <w:szCs w:val="24"/>
          <w:highlight w:val="none"/>
          <w14:textFill>
            <w14:solidFill>
              <w14:schemeClr w14:val="tx1"/>
            </w14:solidFill>
          </w14:textFill>
        </w:rPr>
        <w:t xml:space="preserve">三、政府采购政策： </w:t>
      </w:r>
      <w:r/>
    </w:p>
    <w:p>
      <w:pPr>
        <w:ind w:firstLine="480"/>
        <w:spacing w:line="360" w:lineRule="auto"/>
        <w:tabs>
          <w:tab w:val="left" w:pos="287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1、针对中小型企业的评审加分：</w:t>
      </w:r>
      <w:r/>
    </w:p>
    <w:p>
      <w:pPr>
        <w:ind w:firstLine="480"/>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w:t>
      </w:r>
      <w:r>
        <w:rPr>
          <w:rFonts w:hint="eastAsia" w:ascii="宋体" w:hAnsi="宋体" w:eastAsia="宋体" w:cs="宋体"/>
          <w:b/>
          <w:bCs/>
          <w:color w:val="000000" w:themeColor="text1"/>
          <w:sz w:val="24"/>
          <w:szCs w:val="24"/>
          <w:highlight w:val="none"/>
          <w14:textFill>
            <w14:solidFill>
              <w14:schemeClr w14:val="tx1"/>
            </w14:solidFill>
          </w14:textFill>
        </w:rPr>
        <w:t xml:space="preserve">专门面向中小企业采购</w:t>
      </w:r>
      <w:r>
        <w:rPr>
          <w:rFonts w:hint="eastAsia" w:ascii="宋体" w:hAnsi="宋体" w:eastAsia="宋体" w:cs="宋体"/>
          <w:color w:val="000000" w:themeColor="text1"/>
          <w:sz w:val="24"/>
          <w:szCs w:val="24"/>
          <w:highlight w:val="none"/>
          <w14:textFill>
            <w14:solidFill>
              <w14:schemeClr w14:val="tx1"/>
            </w14:solidFill>
          </w14:textFill>
        </w:rPr>
        <w:t xml:space="preserve">。不再执行价格评审优惠的扶持政策。</w:t>
      </w:r>
      <w:r/>
    </w:p>
    <w:p>
      <w:pPr>
        <w:ind w:firstLine="480"/>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）本项目采购标的对应的中小企业划型标准规定所属行业为：</w:t>
      </w:r>
      <w:r>
        <w:rPr>
          <w:rFonts w:hint="eastAsia" w:ascii="宋体" w:hAnsi="宋体" w:eastAsia="宋体" w:cs="宋体"/>
          <w:b/>
          <w:bCs/>
          <w:color w:val="000000" w:themeColor="text1"/>
          <w:sz w:val="24"/>
          <w:szCs w:val="24"/>
          <w:highlight w:val="none"/>
          <w14:textFill>
            <w14:solidFill>
              <w14:schemeClr w14:val="tx1"/>
            </w14:solidFill>
          </w14:textFill>
        </w:rPr>
        <w:t xml:space="preserve">其他未列明行业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right"/>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（全文完）</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erReference w:type="default" r:id="rId14"/>
      <w:footnotePr/>
      <w:endnotePr/>
      <w:type w:val="nextPage"/>
      <w:pgSz w:w="11906" w:h="16838" w:orient="portrait"/>
      <w:pgMar w:top="1134" w:right="1134" w:bottom="1134" w:left="1134" w:header="851" w:footer="56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Tahoma">
    <w:panose1 w:val="020B0604030504040204"/>
  </w:font>
  <w:font w:name="方正仿宋简体">
    <w:panose1 w:val="020B0503020202020204"/>
  </w:font>
  <w:font w:name="楷体_GB2312">
    <w:panose1 w:val="02010609060101010101"/>
  </w:font>
  <w:font w:name="创艺简仿宋">
    <w:panose1 w:val="020B0503020202020204"/>
  </w:font>
  <w:font w:name="Arial">
    <w:panose1 w:val="020B0604020202020204"/>
  </w:font>
  <w:font w:name="SimSun">
    <w:panose1 w:val="0201060003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56"/>
                          </w:pPr>
                          <w:r>
                            <w:fldChar w:fldCharType="begin"/>
                          </w:r>
                          <w:r>
                            <w:instrText xml:space="preserve"> PAGE  \* MERGEFORMAT </w:instrText>
                          </w:r>
                          <w:r>
                            <w:fldChar w:fldCharType="separate"/>
                          </w:r>
                          <w:r>
                            <w:t xml:space="preserve">31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6"/>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right="360"/>
      <w:tabs>
        <w:tab w:val="clear" w:pos="4153" w:leader="none"/>
        <w:tab w:val="center" w:pos="48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56"/>
                          </w:pPr>
                          <w:r>
                            <w:fldChar w:fldCharType="begin"/>
                          </w:r>
                          <w:r>
                            <w:instrText xml:space="preserve"> PAGE  \* MERGEFORMAT </w:instrText>
                          </w:r>
                          <w:r>
                            <w:fldChar w:fldCharType="separate"/>
                          </w:r>
                          <w:r>
                            <w:t xml:space="preserve">39</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6"/>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right="360"/>
      <w:tabs>
        <w:tab w:val="clear" w:pos="4153" w:leader="none"/>
        <w:tab w:val="center" w:pos="48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56"/>
                          </w:pPr>
                          <w:r>
                            <w:fldChar w:fldCharType="begin"/>
                          </w:r>
                          <w:r>
                            <w:instrText xml:space="preserve"> PAGE  \* MERGEFORMAT </w:instrText>
                          </w:r>
                          <w:r>
                            <w:fldChar w:fldCharType="separate"/>
                          </w:r>
                          <w:r>
                            <w:t xml:space="preserve">39</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6"/>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left"/>
      <w:rPr>
        <w:rFonts w:ascii="宋体" w:hAnsi="宋体" w:cs="宋体"/>
      </w:rPr>
    </w:pPr>
    <w:r>
      <w:rPr>
        <w:rFonts w:hint="eastAsia" w:ascii="宋体" w:hAnsi="宋体" w:cs="宋体"/>
      </w:rPr>
      <w:t xml:space="preserve">苏州正杰招投标咨询服务有限公司采购文件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4">
    <w:name w:val="Heading 1 Char"/>
    <w:basedOn w:val="949"/>
    <w:link w:val="947"/>
    <w:uiPriority w:val="9"/>
    <w:rPr>
      <w:rFonts w:ascii="Arial" w:hAnsi="Arial" w:eastAsia="Arial" w:cs="Arial"/>
      <w:sz w:val="40"/>
      <w:szCs w:val="40"/>
    </w:rPr>
  </w:style>
  <w:style w:type="character" w:styleId="775">
    <w:name w:val="Heading 2 Char"/>
    <w:basedOn w:val="949"/>
    <w:link w:val="948"/>
    <w:uiPriority w:val="9"/>
    <w:rPr>
      <w:rFonts w:ascii="Arial" w:hAnsi="Arial" w:eastAsia="Arial" w:cs="Arial"/>
      <w:sz w:val="34"/>
    </w:rPr>
  </w:style>
  <w:style w:type="paragraph" w:styleId="776">
    <w:name w:val="Heading 3"/>
    <w:basedOn w:val="946"/>
    <w:next w:val="946"/>
    <w:link w:val="777"/>
    <w:uiPriority w:val="9"/>
    <w:unhideWhenUsed/>
    <w:qFormat/>
    <w:pPr>
      <w:keepLines/>
      <w:keepNext/>
      <w:spacing w:before="320" w:after="200"/>
      <w:outlineLvl w:val="2"/>
    </w:pPr>
    <w:rPr>
      <w:rFonts w:ascii="Arial" w:hAnsi="Arial" w:eastAsia="Arial" w:cs="Arial"/>
      <w:sz w:val="30"/>
      <w:szCs w:val="30"/>
    </w:rPr>
  </w:style>
  <w:style w:type="character" w:styleId="777">
    <w:name w:val="Heading 3 Char"/>
    <w:basedOn w:val="949"/>
    <w:link w:val="776"/>
    <w:uiPriority w:val="9"/>
    <w:rPr>
      <w:rFonts w:ascii="Arial" w:hAnsi="Arial" w:eastAsia="Arial" w:cs="Arial"/>
      <w:sz w:val="30"/>
      <w:szCs w:val="30"/>
    </w:rPr>
  </w:style>
  <w:style w:type="paragraph" w:styleId="778">
    <w:name w:val="Heading 4"/>
    <w:basedOn w:val="946"/>
    <w:next w:val="946"/>
    <w:link w:val="779"/>
    <w:uiPriority w:val="9"/>
    <w:unhideWhenUsed/>
    <w:qFormat/>
    <w:pPr>
      <w:keepLines/>
      <w:keepNext/>
      <w:spacing w:before="320" w:after="200"/>
      <w:outlineLvl w:val="3"/>
    </w:pPr>
    <w:rPr>
      <w:rFonts w:ascii="Arial" w:hAnsi="Arial" w:eastAsia="Arial" w:cs="Arial"/>
      <w:b/>
      <w:bCs/>
      <w:sz w:val="26"/>
      <w:szCs w:val="26"/>
    </w:rPr>
  </w:style>
  <w:style w:type="character" w:styleId="779">
    <w:name w:val="Heading 4 Char"/>
    <w:basedOn w:val="949"/>
    <w:link w:val="778"/>
    <w:uiPriority w:val="9"/>
    <w:rPr>
      <w:rFonts w:ascii="Arial" w:hAnsi="Arial" w:eastAsia="Arial" w:cs="Arial"/>
      <w:b/>
      <w:bCs/>
      <w:sz w:val="26"/>
      <w:szCs w:val="26"/>
    </w:rPr>
  </w:style>
  <w:style w:type="paragraph" w:styleId="780">
    <w:name w:val="Heading 5"/>
    <w:basedOn w:val="946"/>
    <w:next w:val="946"/>
    <w:link w:val="781"/>
    <w:uiPriority w:val="9"/>
    <w:unhideWhenUsed/>
    <w:qFormat/>
    <w:pPr>
      <w:keepLines/>
      <w:keepNext/>
      <w:spacing w:before="320" w:after="200"/>
      <w:outlineLvl w:val="4"/>
    </w:pPr>
    <w:rPr>
      <w:rFonts w:ascii="Arial" w:hAnsi="Arial" w:eastAsia="Arial" w:cs="Arial"/>
      <w:b/>
      <w:bCs/>
      <w:sz w:val="24"/>
      <w:szCs w:val="24"/>
    </w:rPr>
  </w:style>
  <w:style w:type="character" w:styleId="781">
    <w:name w:val="Heading 5 Char"/>
    <w:basedOn w:val="949"/>
    <w:link w:val="780"/>
    <w:uiPriority w:val="9"/>
    <w:rPr>
      <w:rFonts w:ascii="Arial" w:hAnsi="Arial" w:eastAsia="Arial" w:cs="Arial"/>
      <w:b/>
      <w:bCs/>
      <w:sz w:val="24"/>
      <w:szCs w:val="24"/>
    </w:rPr>
  </w:style>
  <w:style w:type="paragraph" w:styleId="782">
    <w:name w:val="Heading 6"/>
    <w:basedOn w:val="946"/>
    <w:next w:val="946"/>
    <w:link w:val="783"/>
    <w:uiPriority w:val="9"/>
    <w:unhideWhenUsed/>
    <w:qFormat/>
    <w:pPr>
      <w:keepLines/>
      <w:keepNext/>
      <w:spacing w:before="320" w:after="200"/>
      <w:outlineLvl w:val="5"/>
    </w:pPr>
    <w:rPr>
      <w:rFonts w:ascii="Arial" w:hAnsi="Arial" w:eastAsia="Arial" w:cs="Arial"/>
      <w:b/>
      <w:bCs/>
      <w:sz w:val="22"/>
      <w:szCs w:val="22"/>
    </w:rPr>
  </w:style>
  <w:style w:type="character" w:styleId="783">
    <w:name w:val="Heading 6 Char"/>
    <w:basedOn w:val="949"/>
    <w:link w:val="782"/>
    <w:uiPriority w:val="9"/>
    <w:rPr>
      <w:rFonts w:ascii="Arial" w:hAnsi="Arial" w:eastAsia="Arial" w:cs="Arial"/>
      <w:b/>
      <w:bCs/>
      <w:sz w:val="22"/>
      <w:szCs w:val="22"/>
    </w:rPr>
  </w:style>
  <w:style w:type="paragraph" w:styleId="784">
    <w:name w:val="Heading 7"/>
    <w:basedOn w:val="946"/>
    <w:next w:val="946"/>
    <w:link w:val="785"/>
    <w:uiPriority w:val="9"/>
    <w:unhideWhenUsed/>
    <w:qFormat/>
    <w:pPr>
      <w:keepLines/>
      <w:keepNext/>
      <w:spacing w:before="320" w:after="200"/>
      <w:outlineLvl w:val="6"/>
    </w:pPr>
    <w:rPr>
      <w:rFonts w:ascii="Arial" w:hAnsi="Arial" w:eastAsia="Arial" w:cs="Arial"/>
      <w:b/>
      <w:bCs/>
      <w:i/>
      <w:iCs/>
      <w:sz w:val="22"/>
      <w:szCs w:val="22"/>
    </w:rPr>
  </w:style>
  <w:style w:type="character" w:styleId="785">
    <w:name w:val="Heading 7 Char"/>
    <w:basedOn w:val="949"/>
    <w:link w:val="784"/>
    <w:uiPriority w:val="9"/>
    <w:rPr>
      <w:rFonts w:ascii="Arial" w:hAnsi="Arial" w:eastAsia="Arial" w:cs="Arial"/>
      <w:b/>
      <w:bCs/>
      <w:i/>
      <w:iCs/>
      <w:sz w:val="22"/>
      <w:szCs w:val="22"/>
    </w:rPr>
  </w:style>
  <w:style w:type="paragraph" w:styleId="786">
    <w:name w:val="Heading 8"/>
    <w:basedOn w:val="946"/>
    <w:next w:val="946"/>
    <w:link w:val="787"/>
    <w:uiPriority w:val="9"/>
    <w:unhideWhenUsed/>
    <w:qFormat/>
    <w:pPr>
      <w:keepLines/>
      <w:keepNext/>
      <w:spacing w:before="320" w:after="200"/>
      <w:outlineLvl w:val="7"/>
    </w:pPr>
    <w:rPr>
      <w:rFonts w:ascii="Arial" w:hAnsi="Arial" w:eastAsia="Arial" w:cs="Arial"/>
      <w:i/>
      <w:iCs/>
      <w:sz w:val="22"/>
      <w:szCs w:val="22"/>
    </w:rPr>
  </w:style>
  <w:style w:type="character" w:styleId="787">
    <w:name w:val="Heading 8 Char"/>
    <w:basedOn w:val="949"/>
    <w:link w:val="786"/>
    <w:uiPriority w:val="9"/>
    <w:rPr>
      <w:rFonts w:ascii="Arial" w:hAnsi="Arial" w:eastAsia="Arial" w:cs="Arial"/>
      <w:i/>
      <w:iCs/>
      <w:sz w:val="22"/>
      <w:szCs w:val="22"/>
    </w:rPr>
  </w:style>
  <w:style w:type="paragraph" w:styleId="788">
    <w:name w:val="Heading 9"/>
    <w:basedOn w:val="946"/>
    <w:next w:val="946"/>
    <w:link w:val="789"/>
    <w:uiPriority w:val="9"/>
    <w:unhideWhenUsed/>
    <w:qFormat/>
    <w:pPr>
      <w:keepLines/>
      <w:keepNext/>
      <w:spacing w:before="320" w:after="200"/>
      <w:outlineLvl w:val="8"/>
    </w:pPr>
    <w:rPr>
      <w:rFonts w:ascii="Arial" w:hAnsi="Arial" w:eastAsia="Arial" w:cs="Arial"/>
      <w:i/>
      <w:iCs/>
      <w:sz w:val="21"/>
      <w:szCs w:val="21"/>
    </w:rPr>
  </w:style>
  <w:style w:type="character" w:styleId="789">
    <w:name w:val="Heading 9 Char"/>
    <w:basedOn w:val="949"/>
    <w:link w:val="788"/>
    <w:uiPriority w:val="9"/>
    <w:rPr>
      <w:rFonts w:ascii="Arial" w:hAnsi="Arial" w:eastAsia="Arial" w:cs="Arial"/>
      <w:i/>
      <w:iCs/>
      <w:sz w:val="21"/>
      <w:szCs w:val="21"/>
    </w:rPr>
  </w:style>
  <w:style w:type="paragraph" w:styleId="790">
    <w:name w:val="No Spacing"/>
    <w:uiPriority w:val="1"/>
    <w:qFormat/>
    <w:pPr>
      <w:spacing w:before="0" w:after="0" w:line="240" w:lineRule="auto"/>
    </w:pPr>
  </w:style>
  <w:style w:type="paragraph" w:styleId="791">
    <w:name w:val="Title"/>
    <w:basedOn w:val="946"/>
    <w:next w:val="946"/>
    <w:link w:val="792"/>
    <w:uiPriority w:val="10"/>
    <w:qFormat/>
    <w:pPr>
      <w:contextualSpacing/>
      <w:spacing w:before="300" w:after="200"/>
    </w:pPr>
    <w:rPr>
      <w:sz w:val="48"/>
      <w:szCs w:val="48"/>
    </w:rPr>
  </w:style>
  <w:style w:type="character" w:styleId="792">
    <w:name w:val="Title Char"/>
    <w:basedOn w:val="949"/>
    <w:link w:val="791"/>
    <w:uiPriority w:val="10"/>
    <w:rPr>
      <w:sz w:val="48"/>
      <w:szCs w:val="48"/>
    </w:rPr>
  </w:style>
  <w:style w:type="paragraph" w:styleId="793">
    <w:name w:val="Subtitle"/>
    <w:basedOn w:val="946"/>
    <w:next w:val="946"/>
    <w:link w:val="794"/>
    <w:uiPriority w:val="11"/>
    <w:qFormat/>
    <w:pPr>
      <w:spacing w:before="200" w:after="200"/>
    </w:pPr>
    <w:rPr>
      <w:sz w:val="24"/>
      <w:szCs w:val="24"/>
    </w:rPr>
  </w:style>
  <w:style w:type="character" w:styleId="794">
    <w:name w:val="Subtitle Char"/>
    <w:basedOn w:val="949"/>
    <w:link w:val="793"/>
    <w:uiPriority w:val="11"/>
    <w:rPr>
      <w:sz w:val="24"/>
      <w:szCs w:val="24"/>
    </w:rPr>
  </w:style>
  <w:style w:type="paragraph" w:styleId="795">
    <w:name w:val="Quote"/>
    <w:basedOn w:val="946"/>
    <w:next w:val="946"/>
    <w:link w:val="796"/>
    <w:uiPriority w:val="29"/>
    <w:qFormat/>
    <w:pPr>
      <w:ind w:left="720" w:right="720"/>
    </w:pPr>
    <w:rPr>
      <w:i/>
    </w:rPr>
  </w:style>
  <w:style w:type="character" w:styleId="796">
    <w:name w:val="Quote Char"/>
    <w:link w:val="795"/>
    <w:uiPriority w:val="29"/>
    <w:rPr>
      <w:i/>
    </w:rPr>
  </w:style>
  <w:style w:type="paragraph" w:styleId="797">
    <w:name w:val="Intense Quote"/>
    <w:basedOn w:val="946"/>
    <w:next w:val="946"/>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character" w:styleId="799">
    <w:name w:val="Header Char"/>
    <w:basedOn w:val="949"/>
    <w:link w:val="958"/>
    <w:uiPriority w:val="99"/>
  </w:style>
  <w:style w:type="character" w:styleId="800">
    <w:name w:val="Footer Char"/>
    <w:basedOn w:val="949"/>
    <w:link w:val="956"/>
    <w:uiPriority w:val="99"/>
  </w:style>
  <w:style w:type="paragraph" w:styleId="801">
    <w:name w:val="Caption"/>
    <w:basedOn w:val="946"/>
    <w:next w:val="946"/>
    <w:uiPriority w:val="35"/>
    <w:semiHidden/>
    <w:unhideWhenUsed/>
    <w:qFormat/>
    <w:pPr>
      <w:spacing w:line="276" w:lineRule="auto"/>
    </w:pPr>
    <w:rPr>
      <w:b/>
      <w:bCs/>
      <w:color w:val="4f81bd" w:themeColor="accent1"/>
      <w:sz w:val="18"/>
      <w:szCs w:val="18"/>
    </w:rPr>
  </w:style>
  <w:style w:type="character" w:styleId="802">
    <w:name w:val="Caption Char"/>
    <w:basedOn w:val="801"/>
    <w:link w:val="956"/>
    <w:uiPriority w:val="99"/>
  </w:style>
  <w:style w:type="table" w:styleId="803">
    <w:name w:val="Table Grid"/>
    <w:basedOn w:val="95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4">
    <w:name w:val="Table Grid Light"/>
    <w:basedOn w:val="9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5">
    <w:name w:val="Plain Table 1"/>
    <w:basedOn w:val="9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2"/>
    <w:basedOn w:val="9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3"/>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name w:val="Plain Table 4"/>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name w:val="Plain Table 5"/>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0">
    <w:name w:val="Grid Table 1 Light"/>
    <w:basedOn w:val="9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1">
    <w:name w:val="Grid Table 1 Light - Accent 1"/>
    <w:basedOn w:val="9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2">
    <w:name w:val="Grid Table 1 Light - Accent 2"/>
    <w:basedOn w:val="9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3">
    <w:name w:val="Grid Table 1 Light - Accent 3"/>
    <w:basedOn w:val="9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4">
    <w:name w:val="Grid Table 1 Light - Accent 4"/>
    <w:basedOn w:val="9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5">
    <w:name w:val="Grid Table 1 Light - Accent 5"/>
    <w:basedOn w:val="9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6">
    <w:name w:val="Grid Table 1 Light - Accent 6"/>
    <w:basedOn w:val="9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7">
    <w:name w:val="Grid Table 2"/>
    <w:basedOn w:val="9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2 - Accent 1"/>
    <w:basedOn w:val="9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9">
    <w:name w:val="Grid Table 2 - Accent 2"/>
    <w:basedOn w:val="9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2 - Accent 3"/>
    <w:basedOn w:val="9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2 - Accent 4"/>
    <w:basedOn w:val="9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2 - Accent 5"/>
    <w:basedOn w:val="9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3">
    <w:name w:val="Grid Table 2 - Accent 6"/>
    <w:basedOn w:val="9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4">
    <w:name w:val="Grid Table 3"/>
    <w:basedOn w:val="9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1"/>
    <w:basedOn w:val="9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2"/>
    <w:basedOn w:val="9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3"/>
    <w:basedOn w:val="9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4"/>
    <w:basedOn w:val="9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5"/>
    <w:basedOn w:val="9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6"/>
    <w:basedOn w:val="9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basedOn w:val="9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4 - Accent 1"/>
    <w:basedOn w:val="9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3">
    <w:name w:val="Grid Table 4 - Accent 2"/>
    <w:basedOn w:val="9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4">
    <w:name w:val="Grid Table 4 - Accent 3"/>
    <w:basedOn w:val="9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5">
    <w:name w:val="Grid Table 4 - Accent 4"/>
    <w:basedOn w:val="9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6">
    <w:name w:val="Grid Table 4 - Accent 5"/>
    <w:basedOn w:val="9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7">
    <w:name w:val="Grid Table 4 - Accent 6"/>
    <w:basedOn w:val="9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8">
    <w:name w:val="Grid Table 5 Dark"/>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5 Dark- Accent 1"/>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0">
    <w:name w:val="Grid Table 5 Dark - Accent 2"/>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41">
    <w:name w:val="Grid Table 5 Dark - Accent 3"/>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42">
    <w:name w:val="Grid Table 5 Dark- Accent 4"/>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43">
    <w:name w:val="Grid Table 5 Dark - Accent 5"/>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44">
    <w:name w:val="Grid Table 5 Dark - Accent 6"/>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45">
    <w:name w:val="Grid Table 6 Colorful"/>
    <w:basedOn w:val="9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6 Colorful - Accent 1"/>
    <w:basedOn w:val="9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47">
    <w:name w:val="Grid Table 6 Colorful - Accent 2"/>
    <w:basedOn w:val="9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48">
    <w:name w:val="Grid Table 6 Colorful - Accent 3"/>
    <w:basedOn w:val="9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49">
    <w:name w:val="Grid Table 6 Colorful - Accent 4"/>
    <w:basedOn w:val="9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0">
    <w:name w:val="Grid Table 6 Colorful - Accent 5"/>
    <w:basedOn w:val="9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1">
    <w:name w:val="Grid Table 6 Colorful - Accent 6"/>
    <w:basedOn w:val="9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2">
    <w:name w:val="Grid Table 7 Colorful"/>
    <w:basedOn w:val="9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3">
    <w:name w:val="Grid Table 7 Colorful - Accent 1"/>
    <w:basedOn w:val="9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4">
    <w:name w:val="Grid Table 7 Colorful - Accent 2"/>
    <w:basedOn w:val="9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7 Colorful - Accent 3"/>
    <w:basedOn w:val="9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7 Colorful - Accent 4"/>
    <w:basedOn w:val="9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7 Colorful - Accent 5"/>
    <w:basedOn w:val="9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8">
    <w:name w:val="Grid Table 7 Colorful - Accent 6"/>
    <w:basedOn w:val="9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9">
    <w:name w:val="List Table 1 Light"/>
    <w:basedOn w:val="9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name w:val="List Table 1 Light - Accent 1"/>
    <w:basedOn w:val="95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1">
    <w:name w:val="List Table 1 Light - Accent 2"/>
    <w:basedOn w:val="95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2">
    <w:name w:val="List Table 1 Light - Accent 3"/>
    <w:basedOn w:val="95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3">
    <w:name w:val="List Table 1 Light - Accent 4"/>
    <w:basedOn w:val="95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4">
    <w:name w:val="List Table 1 Light - Accent 5"/>
    <w:basedOn w:val="95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5">
    <w:name w:val="List Table 1 Light - Accent 6"/>
    <w:basedOn w:val="95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6">
    <w:name w:val="List Table 2"/>
    <w:basedOn w:val="9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7">
    <w:name w:val="List Table 2 - Accent 1"/>
    <w:basedOn w:val="9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8">
    <w:name w:val="List Table 2 - Accent 2"/>
    <w:basedOn w:val="9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9">
    <w:name w:val="List Table 2 - Accent 3"/>
    <w:basedOn w:val="9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0">
    <w:name w:val="List Table 2 - Accent 4"/>
    <w:basedOn w:val="9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1">
    <w:name w:val="List Table 2 - Accent 5"/>
    <w:basedOn w:val="9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2">
    <w:name w:val="List Table 2 - Accent 6"/>
    <w:basedOn w:val="9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3">
    <w:name w:val="List Table 3"/>
    <w:basedOn w:val="9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3 - Accent 1"/>
    <w:basedOn w:val="9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5">
    <w:name w:val="List Table 3 - Accent 2"/>
    <w:basedOn w:val="9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76">
    <w:name w:val="List Table 3 - Accent 3"/>
    <w:basedOn w:val="9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77">
    <w:name w:val="List Table 3 - Accent 4"/>
    <w:basedOn w:val="9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78">
    <w:name w:val="List Table 3 - Accent 5"/>
    <w:basedOn w:val="9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79">
    <w:name w:val="List Table 3 - Accent 6"/>
    <w:basedOn w:val="9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0">
    <w:name w:val="List Table 4"/>
    <w:basedOn w:val="9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4 - Accent 1"/>
    <w:basedOn w:val="9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2">
    <w:name w:val="List Table 4 - Accent 2"/>
    <w:basedOn w:val="9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83">
    <w:name w:val="List Table 4 - Accent 3"/>
    <w:basedOn w:val="9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84">
    <w:name w:val="List Table 4 - Accent 4"/>
    <w:basedOn w:val="9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85">
    <w:name w:val="List Table 4 - Accent 5"/>
    <w:basedOn w:val="9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86">
    <w:name w:val="List Table 4 - Accent 6"/>
    <w:basedOn w:val="9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87">
    <w:name w:val="List Table 5 Dark"/>
    <w:basedOn w:val="9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1"/>
    <w:basedOn w:val="9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2"/>
    <w:basedOn w:val="9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3"/>
    <w:basedOn w:val="9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4"/>
    <w:basedOn w:val="9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5"/>
    <w:basedOn w:val="9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6"/>
    <w:basedOn w:val="9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6 Colorful"/>
    <w:basedOn w:val="9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5">
    <w:name w:val="List Table 6 Colorful - Accent 1"/>
    <w:basedOn w:val="9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96">
    <w:name w:val="List Table 6 Colorful - Accent 2"/>
    <w:basedOn w:val="9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97">
    <w:name w:val="List Table 6 Colorful - Accent 3"/>
    <w:basedOn w:val="9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98">
    <w:name w:val="List Table 6 Colorful - Accent 4"/>
    <w:basedOn w:val="9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99">
    <w:name w:val="List Table 6 Colorful - Accent 5"/>
    <w:basedOn w:val="9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0">
    <w:name w:val="List Table 6 Colorful - Accent 6"/>
    <w:basedOn w:val="9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01">
    <w:name w:val="List Table 7 Colorful"/>
    <w:basedOn w:val="9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2">
    <w:name w:val="List Table 7 Colorful - Accent 1"/>
    <w:basedOn w:val="9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03">
    <w:name w:val="List Table 7 Colorful - Accent 2"/>
    <w:basedOn w:val="9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04">
    <w:name w:val="List Table 7 Colorful - Accent 3"/>
    <w:basedOn w:val="9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05">
    <w:name w:val="List Table 7 Colorful - Accent 4"/>
    <w:basedOn w:val="9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06">
    <w:name w:val="List Table 7 Colorful - Accent 5"/>
    <w:basedOn w:val="9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07">
    <w:name w:val="List Table 7 Colorful - Accent 6"/>
    <w:basedOn w:val="9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08">
    <w:name w:val="Lined - Accent"/>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Lined - Accent 1"/>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0">
    <w:name w:val="Lined - Accent 2"/>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1">
    <w:name w:val="Lined - Accent 3"/>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2">
    <w:name w:val="Lined - Accent 4"/>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3">
    <w:name w:val="Lined - Accent 5"/>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4">
    <w:name w:val="Lined - Accent 6"/>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5">
    <w:name w:val="Bordered &amp; Lined - Accent"/>
    <w:basedOn w:val="9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Bordered &amp; Lined - Accent 1"/>
    <w:basedOn w:val="9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7">
    <w:name w:val="Bordered &amp; Lined - Accent 2"/>
    <w:basedOn w:val="9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8">
    <w:name w:val="Bordered &amp; Lined - Accent 3"/>
    <w:basedOn w:val="9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9">
    <w:name w:val="Bordered &amp; Lined - Accent 4"/>
    <w:basedOn w:val="9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0">
    <w:name w:val="Bordered &amp; Lined - Accent 5"/>
    <w:basedOn w:val="9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1">
    <w:name w:val="Bordered &amp; Lined - Accent 6"/>
    <w:basedOn w:val="9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2">
    <w:name w:val="Bordered"/>
    <w:basedOn w:val="9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3">
    <w:name w:val="Bordered - Accent 1"/>
    <w:basedOn w:val="9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4">
    <w:name w:val="Bordered - Accent 2"/>
    <w:basedOn w:val="9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5">
    <w:name w:val="Bordered - Accent 3"/>
    <w:basedOn w:val="9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6">
    <w:name w:val="Bordered - Accent 4"/>
    <w:basedOn w:val="9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7">
    <w:name w:val="Bordered - Accent 5"/>
    <w:basedOn w:val="9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8">
    <w:name w:val="Bordered - Accent 6"/>
    <w:basedOn w:val="9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9">
    <w:name w:val="Hyperlink"/>
    <w:uiPriority w:val="99"/>
    <w:unhideWhenUsed/>
    <w:rPr>
      <w:color w:val="0000ff" w:themeColor="hyperlink"/>
      <w:u w:val="single"/>
    </w:rPr>
  </w:style>
  <w:style w:type="paragraph" w:styleId="930">
    <w:name w:val="footnote text"/>
    <w:basedOn w:val="946"/>
    <w:link w:val="931"/>
    <w:uiPriority w:val="99"/>
    <w:semiHidden/>
    <w:unhideWhenUsed/>
    <w:pPr>
      <w:spacing w:after="40" w:line="240" w:lineRule="auto"/>
    </w:pPr>
    <w:rPr>
      <w:sz w:val="18"/>
    </w:rPr>
  </w:style>
  <w:style w:type="character" w:styleId="931">
    <w:name w:val="Footnote Text Char"/>
    <w:link w:val="930"/>
    <w:uiPriority w:val="99"/>
    <w:rPr>
      <w:sz w:val="18"/>
    </w:rPr>
  </w:style>
  <w:style w:type="character" w:styleId="932">
    <w:name w:val="footnote reference"/>
    <w:basedOn w:val="949"/>
    <w:uiPriority w:val="99"/>
    <w:unhideWhenUsed/>
    <w:rPr>
      <w:vertAlign w:val="superscript"/>
    </w:rPr>
  </w:style>
  <w:style w:type="paragraph" w:styleId="933">
    <w:name w:val="endnote text"/>
    <w:basedOn w:val="946"/>
    <w:link w:val="934"/>
    <w:uiPriority w:val="99"/>
    <w:semiHidden/>
    <w:unhideWhenUsed/>
    <w:pPr>
      <w:spacing w:after="0" w:line="240" w:lineRule="auto"/>
    </w:pPr>
    <w:rPr>
      <w:sz w:val="20"/>
    </w:rPr>
  </w:style>
  <w:style w:type="character" w:styleId="934">
    <w:name w:val="Endnote Text Char"/>
    <w:link w:val="933"/>
    <w:uiPriority w:val="99"/>
    <w:rPr>
      <w:sz w:val="20"/>
    </w:rPr>
  </w:style>
  <w:style w:type="character" w:styleId="935">
    <w:name w:val="endnote reference"/>
    <w:basedOn w:val="949"/>
    <w:uiPriority w:val="99"/>
    <w:semiHidden/>
    <w:unhideWhenUsed/>
    <w:rPr>
      <w:vertAlign w:val="superscript"/>
    </w:rPr>
  </w:style>
  <w:style w:type="paragraph" w:styleId="936">
    <w:name w:val="toc 2"/>
    <w:basedOn w:val="946"/>
    <w:next w:val="946"/>
    <w:uiPriority w:val="39"/>
    <w:unhideWhenUsed/>
    <w:pPr>
      <w:ind w:left="283" w:right="0" w:firstLine="0"/>
      <w:spacing w:after="57"/>
    </w:pPr>
  </w:style>
  <w:style w:type="paragraph" w:styleId="937">
    <w:name w:val="toc 3"/>
    <w:basedOn w:val="946"/>
    <w:next w:val="946"/>
    <w:uiPriority w:val="39"/>
    <w:unhideWhenUsed/>
    <w:pPr>
      <w:ind w:left="567" w:right="0" w:firstLine="0"/>
      <w:spacing w:after="57"/>
    </w:pPr>
  </w:style>
  <w:style w:type="paragraph" w:styleId="938">
    <w:name w:val="toc 4"/>
    <w:basedOn w:val="946"/>
    <w:next w:val="946"/>
    <w:uiPriority w:val="39"/>
    <w:unhideWhenUsed/>
    <w:pPr>
      <w:ind w:left="850" w:right="0" w:firstLine="0"/>
      <w:spacing w:after="57"/>
    </w:pPr>
  </w:style>
  <w:style w:type="paragraph" w:styleId="939">
    <w:name w:val="toc 5"/>
    <w:basedOn w:val="946"/>
    <w:next w:val="946"/>
    <w:uiPriority w:val="39"/>
    <w:unhideWhenUsed/>
    <w:pPr>
      <w:ind w:left="1134" w:right="0" w:firstLine="0"/>
      <w:spacing w:after="57"/>
    </w:pPr>
  </w:style>
  <w:style w:type="paragraph" w:styleId="940">
    <w:name w:val="toc 6"/>
    <w:basedOn w:val="946"/>
    <w:next w:val="946"/>
    <w:uiPriority w:val="39"/>
    <w:unhideWhenUsed/>
    <w:pPr>
      <w:ind w:left="1417" w:right="0" w:firstLine="0"/>
      <w:spacing w:after="57"/>
    </w:pPr>
  </w:style>
  <w:style w:type="paragraph" w:styleId="941">
    <w:name w:val="toc 7"/>
    <w:basedOn w:val="946"/>
    <w:next w:val="946"/>
    <w:uiPriority w:val="39"/>
    <w:unhideWhenUsed/>
    <w:pPr>
      <w:ind w:left="1701" w:right="0" w:firstLine="0"/>
      <w:spacing w:after="57"/>
    </w:pPr>
  </w:style>
  <w:style w:type="paragraph" w:styleId="942">
    <w:name w:val="toc 8"/>
    <w:basedOn w:val="946"/>
    <w:next w:val="946"/>
    <w:uiPriority w:val="39"/>
    <w:unhideWhenUsed/>
    <w:pPr>
      <w:ind w:left="1984" w:right="0" w:firstLine="0"/>
      <w:spacing w:after="57"/>
    </w:pPr>
  </w:style>
  <w:style w:type="paragraph" w:styleId="943">
    <w:name w:val="toc 9"/>
    <w:basedOn w:val="946"/>
    <w:next w:val="946"/>
    <w:uiPriority w:val="39"/>
    <w:unhideWhenUsed/>
    <w:pPr>
      <w:ind w:left="2268" w:right="0" w:firstLine="0"/>
      <w:spacing w:after="57"/>
    </w:pPr>
  </w:style>
  <w:style w:type="paragraph" w:styleId="944">
    <w:name w:val="TOC Heading"/>
    <w:uiPriority w:val="39"/>
    <w:unhideWhenUsed/>
  </w:style>
  <w:style w:type="paragraph" w:styleId="945">
    <w:name w:val="table of figures"/>
    <w:basedOn w:val="946"/>
    <w:next w:val="946"/>
    <w:uiPriority w:val="99"/>
    <w:unhideWhenUsed/>
    <w:pPr>
      <w:spacing w:after="0" w:afterAutospacing="0"/>
    </w:pPr>
  </w:style>
  <w:style w:type="paragraph" w:styleId="946" w:default="1">
    <w:name w:val="Normal"/>
    <w:next w:val="951"/>
    <w:uiPriority w:val="0"/>
    <w:qFormat/>
    <w:pPr>
      <w:jc w:val="both"/>
      <w:widowControl w:val="off"/>
    </w:pPr>
    <w:rPr>
      <w:rFonts w:ascii="Times New Roman" w:hAnsi="Times New Roman" w:eastAsia="楷体_GB2312" w:cs="Times New Roman"/>
      <w:sz w:val="26"/>
      <w:lang w:val="en-US" w:eastAsia="zh-CN" w:bidi="ar-SA"/>
    </w:rPr>
  </w:style>
  <w:style w:type="paragraph" w:styleId="947">
    <w:name w:val="Heading 1"/>
    <w:basedOn w:val="946"/>
    <w:next w:val="946"/>
    <w:uiPriority w:val="0"/>
    <w:qFormat/>
    <w:pPr>
      <w:keepLines/>
      <w:keepNext/>
      <w:spacing w:before="340" w:after="330" w:line="578" w:lineRule="auto"/>
      <w:outlineLvl w:val="0"/>
    </w:pPr>
    <w:rPr>
      <w:b/>
      <w:sz w:val="44"/>
    </w:rPr>
  </w:style>
  <w:style w:type="paragraph" w:styleId="948">
    <w:name w:val="Heading 2"/>
    <w:basedOn w:val="946"/>
    <w:next w:val="946"/>
    <w:uiPriority w:val="0"/>
    <w:qFormat/>
    <w:pPr>
      <w:jc w:val="left"/>
      <w:keepLines/>
      <w:keepNext/>
      <w:outlineLvl w:val="1"/>
    </w:pPr>
    <w:rPr>
      <w:rFonts w:ascii="宋体" w:hAnsi="宋体"/>
      <w:b/>
    </w:rPr>
  </w:style>
  <w:style w:type="character" w:styleId="949" w:default="1">
    <w:name w:val="Default Paragraph Font"/>
    <w:uiPriority w:val="0"/>
    <w:semiHidden/>
    <w:qFormat/>
  </w:style>
  <w:style w:type="table" w:styleId="950" w:default="1">
    <w:name w:val="Normal Table"/>
    <w:uiPriority w:val="0"/>
    <w:semiHidden/>
    <w:qFormat/>
    <w:tblPr>
      <w:tblCellMar>
        <w:left w:w="108" w:type="dxa"/>
        <w:top w:w="0" w:type="dxa"/>
        <w:right w:w="108" w:type="dxa"/>
        <w:bottom w:w="0" w:type="dxa"/>
      </w:tblCellMar>
    </w:tblPr>
  </w:style>
  <w:style w:type="paragraph" w:styleId="951">
    <w:name w:val="Body Text"/>
    <w:basedOn w:val="946"/>
    <w:next w:val="952"/>
    <w:uiPriority w:val="0"/>
    <w:qFormat/>
    <w:pPr>
      <w:spacing w:line="400" w:lineRule="exact"/>
    </w:pPr>
    <w:rPr>
      <w:rFonts w:ascii="楷体_GB2312"/>
      <w:sz w:val="28"/>
    </w:rPr>
  </w:style>
  <w:style w:type="paragraph" w:styleId="952">
    <w:name w:val="Normal Indent"/>
    <w:basedOn w:val="946"/>
    <w:next w:val="946"/>
    <w:uiPriority w:val="0"/>
    <w:qFormat/>
    <w:pPr>
      <w:ind w:firstLine="420"/>
      <w:jc w:val="left"/>
    </w:pPr>
    <w:rPr>
      <w:sz w:val="24"/>
    </w:rPr>
  </w:style>
  <w:style w:type="paragraph" w:styleId="953">
    <w:name w:val="annotation text"/>
    <w:basedOn w:val="946"/>
    <w:uiPriority w:val="0"/>
    <w:qFormat/>
    <w:pPr>
      <w:jc w:val="left"/>
    </w:pPr>
  </w:style>
  <w:style w:type="paragraph" w:styleId="954">
    <w:name w:val="Body Text Indent"/>
    <w:basedOn w:val="946"/>
    <w:uiPriority w:val="0"/>
    <w:qFormat/>
    <w:pPr>
      <w:ind w:left="570"/>
      <w:spacing w:line="520" w:lineRule="exact"/>
    </w:pPr>
    <w:rPr>
      <w:rFonts w:ascii="方正仿宋简体" w:hAnsi="创艺简仿宋" w:eastAsia="方正仿宋简体"/>
      <w:sz w:val="24"/>
    </w:rPr>
  </w:style>
  <w:style w:type="paragraph" w:styleId="955">
    <w:name w:val="Plain Text"/>
    <w:basedOn w:val="946"/>
    <w:next w:val="952"/>
    <w:uiPriority w:val="0"/>
    <w:qFormat/>
    <w:rPr>
      <w:rFonts w:ascii="宋体" w:hAnsi="Courier New"/>
    </w:rPr>
  </w:style>
  <w:style w:type="paragraph" w:styleId="956">
    <w:name w:val="Footer"/>
    <w:basedOn w:val="946"/>
    <w:uiPriority w:val="99"/>
    <w:qFormat/>
    <w:pPr>
      <w:jc w:val="left"/>
      <w:tabs>
        <w:tab w:val="center" w:pos="4153" w:leader="none"/>
        <w:tab w:val="right" w:pos="8306" w:leader="none"/>
      </w:tabs>
    </w:pPr>
    <w:rPr>
      <w:rFonts w:ascii="Tahoma" w:hAnsi="Tahoma" w:eastAsia="宋体"/>
      <w:sz w:val="18"/>
      <w:szCs w:val="18"/>
    </w:rPr>
  </w:style>
  <w:style w:type="paragraph" w:styleId="957">
    <w:name w:val="envelope return"/>
    <w:basedOn w:val="946"/>
    <w:uiPriority w:val="0"/>
    <w:qFormat/>
    <w:rPr>
      <w:rFonts w:ascii="Arial" w:hAnsi="Arial"/>
    </w:rPr>
  </w:style>
  <w:style w:type="paragraph" w:styleId="958">
    <w:name w:val="Header"/>
    <w:basedOn w:val="946"/>
    <w:uiPriority w:val="0"/>
    <w:qFormat/>
    <w:pPr>
      <w:jc w:val="center"/>
      <w:tabs>
        <w:tab w:val="center" w:pos="4153" w:leader="none"/>
        <w:tab w:val="right" w:pos="8306" w:leader="none"/>
      </w:tabs>
      <w:pBdr>
        <w:bottom w:val="single" w:color="auto" w:sz="6" w:space="1"/>
      </w:pBdr>
    </w:pPr>
    <w:rPr>
      <w:rFonts w:ascii="Tahoma" w:hAnsi="Tahoma" w:eastAsia="宋体"/>
      <w:sz w:val="18"/>
      <w:szCs w:val="18"/>
    </w:rPr>
  </w:style>
  <w:style w:type="paragraph" w:styleId="959">
    <w:name w:val="toc 1"/>
    <w:basedOn w:val="946"/>
    <w:next w:val="946"/>
    <w:uiPriority w:val="0"/>
    <w:qFormat/>
    <w:pPr>
      <w:ind w:firstLine="751"/>
      <w:jc w:val="left"/>
      <w:spacing w:line="360" w:lineRule="auto"/>
      <w:tabs>
        <w:tab w:val="right" w:pos="9538" w:leader="dot"/>
      </w:tabs>
    </w:pPr>
    <w:rPr>
      <w:sz w:val="24"/>
    </w:rPr>
  </w:style>
  <w:style w:type="paragraph" w:styleId="960">
    <w:name w:val="Normal (Web)"/>
    <w:basedOn w:val="946"/>
    <w:uiPriority w:val="99"/>
    <w:qFormat/>
    <w:pPr>
      <w:jc w:val="left"/>
      <w:spacing w:before="100" w:beforeAutospacing="1" w:after="100" w:afterAutospacing="1"/>
      <w:widowControl/>
    </w:pPr>
    <w:rPr>
      <w:rFonts w:hint="eastAsia" w:ascii="宋体" w:hAnsi="宋体" w:eastAsia="宋体"/>
      <w:sz w:val="24"/>
      <w:szCs w:val="24"/>
    </w:rPr>
  </w:style>
  <w:style w:type="paragraph" w:styleId="961" w:customStyle="1">
    <w:name w:val="段"/>
    <w:next w:val="946"/>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962">
    <w:name w:val="List Paragraph"/>
    <w:basedOn w:val="946"/>
    <w:uiPriority w:val="0"/>
    <w:qFormat/>
    <w:pPr>
      <w:ind w:firstLine="420"/>
    </w:pPr>
  </w:style>
  <w:style w:type="paragraph" w:styleId="963" w:customStyle="1">
    <w:name w:val="纯文本1"/>
    <w:basedOn w:val="946"/>
    <w:uiPriority w:val="0"/>
    <w:qFormat/>
    <w:rPr>
      <w:rFonts w:ascii="宋体" w:hAnsi="Courier New"/>
    </w:rPr>
  </w:style>
  <w:style w:type="paragraph" w:styleId="964" w:customStyle="1">
    <w:name w:val="纯文本4"/>
    <w:basedOn w:val="946"/>
    <w:uiPriority w:val="0"/>
    <w:qFormat/>
    <w:rPr>
      <w:rFonts w:ascii="宋体" w:hAnsi="Courier New"/>
    </w:rPr>
  </w:style>
  <w:style w:type="paragraph" w:styleId="965" w:customStyle="1">
    <w:name w:val="纯文本21"/>
    <w:basedOn w:val="946"/>
    <w:uiPriority w:val="0"/>
    <w:qFormat/>
    <w:rPr>
      <w:rFonts w:ascii="宋体" w:hAnsi="Courier New"/>
      <w:sz w:val="28"/>
    </w:rPr>
  </w:style>
  <w:style w:type="paragraph" w:styleId="966" w:customStyle="1">
    <w:name w:val="Plain Text"/>
    <w:basedOn w:val="946"/>
    <w:uiPriority w:val="0"/>
    <w:qFormat/>
    <w:rPr>
      <w:rFonts w:ascii="宋体" w:hAnsi="Courier New"/>
      <w:sz w:val="28"/>
    </w:rPr>
  </w:style>
  <w:style w:type="character" w:styleId="967" w:customStyle="1">
    <w:name w:val="font31"/>
    <w:basedOn w:val="949"/>
    <w:uiPriority w:val="0"/>
    <w:qFormat/>
    <w:rPr>
      <w:rFonts w:ascii="微软雅黑" w:hAnsi="微软雅黑" w:eastAsia="微软雅黑" w:cs="微软雅黑"/>
      <w:color w:val="000000"/>
      <w:sz w:val="21"/>
      <w:szCs w:val="21"/>
      <w:u w:val="none"/>
    </w:rPr>
  </w:style>
  <w:style w:type="character" w:styleId="968" w:customStyle="1">
    <w:name w:val="font101"/>
    <w:basedOn w:val="949"/>
    <w:uiPriority w:val="0"/>
    <w:qFormat/>
    <w:rPr>
      <w:rFonts w:hint="eastAsia" w:ascii="宋体" w:hAnsi="宋体" w:eastAsia="宋体" w:cs="宋体"/>
      <w:color w:val="000000"/>
      <w:sz w:val="21"/>
      <w:szCs w:val="21"/>
      <w:u w:val="none"/>
    </w:rPr>
  </w:style>
  <w:style w:type="character" w:styleId="969" w:customStyle="1">
    <w:name w:val="NormalCharacter"/>
    <w:uiPriority w:val="0"/>
    <w:semiHidden/>
    <w:qFormat/>
  </w:style>
  <w:style w:type="paragraph" w:styleId="970" w:customStyle="1">
    <w:name w:val="纯文本5"/>
    <w:basedOn w:val="946"/>
    <w:uiPriority w:val="0"/>
    <w:qFormat/>
    <w:pPr>
      <w:jc w:val="both"/>
      <w:widowControl w:val="off"/>
    </w:pPr>
    <w:rPr>
      <w:rFonts w:hAnsi="Courier New" w:eastAsia="楷体_GB2312" w:cs="Times New Roman"/>
      <w:sz w:val="28"/>
      <w:szCs w:val="20"/>
    </w:rPr>
  </w:style>
  <w:style w:type="character" w:styleId="971" w:customStyle="1">
    <w:name w:val="font61"/>
    <w:basedOn w:val="949"/>
    <w:uiPriority w:val="0"/>
    <w:qFormat/>
    <w:rPr>
      <w:rFonts w:hint="default" w:ascii="Times New Roman" w:hAnsi="Times New Roman" w:cs="Times New Roman"/>
      <w:color w:val="000000"/>
      <w:sz w:val="24"/>
      <w:szCs w:val="24"/>
      <w:u w:val="none"/>
    </w:rPr>
  </w:style>
  <w:style w:type="character" w:styleId="972" w:customStyle="1">
    <w:name w:val="font71"/>
    <w:basedOn w:val="949"/>
    <w:uiPriority w:val="0"/>
    <w:qFormat/>
    <w:rPr>
      <w:rFonts w:ascii="Arial" w:hAnsi="Arial" w:cs="Arial"/>
      <w:color w:val="000000"/>
      <w:sz w:val="24"/>
      <w:szCs w:val="24"/>
      <w:u w:val="none"/>
    </w:rPr>
  </w:style>
  <w:style w:type="character" w:styleId="973" w:customStyle="1">
    <w:name w:val="font41"/>
    <w:basedOn w:val="949"/>
    <w:uiPriority w:val="0"/>
    <w:rPr>
      <w:rFonts w:hint="default" w:ascii="Times New Roman" w:hAnsi="Times New Roman" w:cs="Times New Roman"/>
      <w:color w:val="000000"/>
      <w:sz w:val="21"/>
      <w:szCs w:val="21"/>
      <w:u w:val="none"/>
    </w:rPr>
  </w:style>
  <w:style w:type="character" w:styleId="974" w:customStyle="1">
    <w:name w:val="font51"/>
    <w:basedOn w:val="949"/>
    <w:uiPriority w:val="0"/>
    <w:rPr>
      <w:rFonts w:ascii="Arial" w:hAnsi="Arial" w:cs="Arial"/>
      <w:color w:val="000000"/>
      <w:sz w:val="21"/>
      <w:szCs w:val="21"/>
      <w:u w:val="none"/>
    </w:rPr>
  </w:style>
  <w:style w:type="numbering" w:styleId="9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沈鹰</cp:lastModifiedBy>
  <cp:revision>4</cp:revision>
  <dcterms:created xsi:type="dcterms:W3CDTF">2024-04-07T00:11:00Z</dcterms:created>
  <dcterms:modified xsi:type="dcterms:W3CDTF">2025-11-24T08:07:24Z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8C59A256442241C4A22481F720E77E06_12</vt:lpwstr>
  </property>
  <property fmtid="{D5CDD505-2E9C-101B-9397-08002B2CF9AE}" pid="4" name="KSOTemplateDocerSaveRecord">
    <vt:lpwstr>eyJoZGlkIjoiMzE0YWM1MjgxNTZhYmI0YzZhNjhkMmU1MjJjYTQzYjUiLCJ1c2VySWQiOiI0MTgxMDg2MzUifQ==</vt:lpwstr>
  </property>
</Properties>
</file>